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094B" w14:textId="317C53CB" w:rsidR="00A83412" w:rsidRPr="00A83412" w:rsidRDefault="00A83412" w:rsidP="00415BD7">
      <w:pPr>
        <w:pStyle w:val="Ingetavstnd"/>
        <w:tabs>
          <w:tab w:val="clear" w:pos="3686"/>
          <w:tab w:val="left" w:pos="2835"/>
        </w:tabs>
        <w:spacing w:line="276" w:lineRule="auto"/>
        <w:ind w:firstLine="2835"/>
      </w:pPr>
      <w:r>
        <w:t>Sundbyberg</w:t>
      </w:r>
      <w:r w:rsidR="00576061">
        <w:t>, 20</w:t>
      </w:r>
      <w:r w:rsidR="000C1C0D">
        <w:t>2</w:t>
      </w:r>
      <w:r w:rsidR="00D0074E">
        <w:t>1-</w:t>
      </w:r>
      <w:r w:rsidR="00304CF5">
        <w:t>10</w:t>
      </w:r>
      <w:r w:rsidR="005C6394">
        <w:t>-</w:t>
      </w:r>
      <w:r w:rsidR="00304CF5">
        <w:t>15</w:t>
      </w:r>
    </w:p>
    <w:p w14:paraId="7977CC59" w14:textId="560F97A4" w:rsidR="00655251" w:rsidRPr="000951FF" w:rsidRDefault="00366719" w:rsidP="00415BD7">
      <w:pPr>
        <w:pStyle w:val="Default"/>
        <w:ind w:left="1531" w:firstLine="1304"/>
        <w:rPr>
          <w:rFonts w:ascii="Book Antiqua" w:hAnsi="Book Antiqua"/>
          <w:color w:val="auto"/>
        </w:rPr>
      </w:pPr>
      <w:r w:rsidRPr="00EA0263">
        <w:rPr>
          <w:rFonts w:ascii="Book Antiqua" w:hAnsi="Book Antiqua"/>
          <w:color w:val="auto"/>
        </w:rPr>
        <w:t>Dnr.nr:</w:t>
      </w:r>
      <w:r w:rsidR="00915AB5" w:rsidRPr="00EA0263">
        <w:rPr>
          <w:rFonts w:ascii="Book Antiqua" w:hAnsi="Book Antiqua"/>
          <w:color w:val="auto"/>
        </w:rPr>
        <w:t xml:space="preserve"> </w:t>
      </w:r>
      <w:r w:rsidR="00560067" w:rsidRPr="00560067">
        <w:rPr>
          <w:rFonts w:ascii="Book Antiqua" w:hAnsi="Book Antiqua"/>
          <w:color w:val="auto"/>
        </w:rPr>
        <w:t>S2021/04731</w:t>
      </w:r>
    </w:p>
    <w:p w14:paraId="3EE84283" w14:textId="377342C1" w:rsidR="00415BD7" w:rsidRDefault="00EF7AB2" w:rsidP="00415BD7">
      <w:pPr>
        <w:pStyle w:val="Default"/>
        <w:tabs>
          <w:tab w:val="left" w:pos="2835"/>
        </w:tabs>
        <w:rPr>
          <w:rFonts w:ascii="Book Antiqua" w:hAnsi="Book Antiqua"/>
        </w:rPr>
      </w:pPr>
      <w:r w:rsidRPr="00655251">
        <w:rPr>
          <w:rFonts w:ascii="Book Antiqua" w:hAnsi="Book Antiqua"/>
        </w:rPr>
        <w:t>Vår referens</w:t>
      </w:r>
      <w:r w:rsidR="00415BD7">
        <w:rPr>
          <w:rFonts w:ascii="Book Antiqua" w:hAnsi="Book Antiqua"/>
        </w:rPr>
        <w:tab/>
      </w:r>
      <w:r w:rsidR="00915F5D" w:rsidRPr="00655251">
        <w:rPr>
          <w:rFonts w:ascii="Book Antiqua" w:hAnsi="Book Antiqua"/>
        </w:rPr>
        <w:t>Mottagare</w:t>
      </w:r>
      <w:r w:rsidR="00A83412" w:rsidRPr="00655251">
        <w:rPr>
          <w:rFonts w:ascii="Book Antiqua" w:hAnsi="Book Antiqua"/>
        </w:rPr>
        <w:t xml:space="preserve">: </w:t>
      </w:r>
      <w:r w:rsidR="00415BD7">
        <w:rPr>
          <w:rFonts w:ascii="Book Antiqua" w:hAnsi="Book Antiqua"/>
        </w:rPr>
        <w:t>s.remissvar@regeringskansliet.se</w:t>
      </w:r>
      <w:r w:rsidR="00415BD7" w:rsidDel="00415BD7">
        <w:rPr>
          <w:rFonts w:ascii="Book Antiqua" w:hAnsi="Book Antiqua"/>
        </w:rPr>
        <w:t xml:space="preserve"> </w:t>
      </w:r>
    </w:p>
    <w:p w14:paraId="2B9C5ED7" w14:textId="73AB73AC" w:rsidR="006A5E17" w:rsidRPr="00415BD7" w:rsidRDefault="00563673" w:rsidP="00415BD7">
      <w:pPr>
        <w:pStyle w:val="Default"/>
        <w:tabs>
          <w:tab w:val="left" w:pos="3119"/>
        </w:tabs>
        <w:rPr>
          <w:lang w:val="en-GB"/>
        </w:rPr>
      </w:pPr>
      <w:r w:rsidRPr="00415BD7">
        <w:rPr>
          <w:rFonts w:ascii="Book Antiqua" w:hAnsi="Book Antiqua"/>
          <w:lang w:val="en-GB"/>
        </w:rPr>
        <w:t>Mia Ahlgren</w:t>
      </w:r>
      <w:r w:rsidR="00415BD7">
        <w:rPr>
          <w:rFonts w:ascii="Book Antiqua" w:hAnsi="Book Antiqua"/>
          <w:lang w:val="en-GB"/>
        </w:rPr>
        <w:tab/>
      </w:r>
      <w:r w:rsidR="00415BD7">
        <w:rPr>
          <w:rFonts w:ascii="Book Antiqua" w:hAnsi="Book Antiqua"/>
          <w:lang w:val="en-GB"/>
        </w:rPr>
        <w:tab/>
        <w:t xml:space="preserve">   </w:t>
      </w:r>
      <w:hyperlink r:id="rId11" w:history="1">
        <w:r w:rsidR="00415BD7" w:rsidRPr="00415BD7">
          <w:rPr>
            <w:rStyle w:val="Hyperlnk"/>
            <w:rFonts w:ascii="Book Antiqua" w:hAnsi="Book Antiqua"/>
            <w:lang w:val="en-GB"/>
          </w:rPr>
          <w:t>s.sof@regeringskansliet.se</w:t>
        </w:r>
      </w:hyperlink>
      <w:r w:rsidR="004455B9" w:rsidRPr="00415BD7">
        <w:rPr>
          <w:rFonts w:ascii="Book Antiqua" w:hAnsi="Book Antiqua"/>
          <w:lang w:val="en-GB"/>
        </w:rPr>
        <w:t xml:space="preserve"> </w:t>
      </w:r>
      <w:r w:rsidR="006A5E17" w:rsidRPr="00415BD7">
        <w:rPr>
          <w:rFonts w:ascii="Book Antiqua" w:hAnsi="Book Antiqua"/>
          <w:lang w:val="en-GB"/>
        </w:rPr>
        <w:t xml:space="preserve"> </w:t>
      </w:r>
    </w:p>
    <w:p w14:paraId="536AC20C" w14:textId="756432C3" w:rsidR="00BD3418" w:rsidRPr="00415BD7" w:rsidRDefault="000D51D0" w:rsidP="00821E88">
      <w:pPr>
        <w:pStyle w:val="Default"/>
        <w:rPr>
          <w:rFonts w:ascii="Book Antiqua" w:hAnsi="Book Antiqua"/>
          <w:lang w:val="en-GB"/>
        </w:rPr>
      </w:pPr>
      <w:r w:rsidRPr="00415BD7">
        <w:rPr>
          <w:rFonts w:ascii="Book Antiqua" w:hAnsi="Book Antiqua"/>
          <w:sz w:val="20"/>
          <w:szCs w:val="20"/>
          <w:lang w:val="en-GB"/>
        </w:rPr>
        <w:t xml:space="preserve"> </w:t>
      </w:r>
    </w:p>
    <w:p w14:paraId="2A24E327" w14:textId="227B7F72" w:rsidR="00750EF0" w:rsidRDefault="00E47F6D" w:rsidP="007E3B84">
      <w:pPr>
        <w:pStyle w:val="Rubrik1"/>
      </w:pPr>
      <w:r>
        <w:t xml:space="preserve">Remissvar </w:t>
      </w:r>
      <w:r w:rsidR="004455B9">
        <w:t xml:space="preserve">Tillgänglighetsdirektivet </w:t>
      </w:r>
      <w:r w:rsidR="007E3B84">
        <w:t>SOU 202</w:t>
      </w:r>
      <w:r w:rsidR="004455B9">
        <w:t>1</w:t>
      </w:r>
      <w:r w:rsidR="007E3B84">
        <w:t>:</w:t>
      </w:r>
      <w:r w:rsidR="004455B9">
        <w:t>44</w:t>
      </w:r>
    </w:p>
    <w:p w14:paraId="7126C899" w14:textId="77777777" w:rsidR="00681D03" w:rsidRPr="001B743F" w:rsidRDefault="00681D03" w:rsidP="00681D03">
      <w:pPr>
        <w:pStyle w:val="Rubrik3"/>
        <w:rPr>
          <w:lang w:eastAsia="sv-SE"/>
        </w:rPr>
      </w:pPr>
      <w:r w:rsidRPr="001B743F">
        <w:rPr>
          <w:lang w:eastAsia="sv-SE"/>
        </w:rPr>
        <w:t xml:space="preserve">Funktionsrätt Sverige </w:t>
      </w:r>
    </w:p>
    <w:p w14:paraId="77EA8D77" w14:textId="63D73F90" w:rsidR="00681D03" w:rsidRDefault="00681D03" w:rsidP="00681D03">
      <w:pPr>
        <w:rPr>
          <w:lang w:eastAsia="sv-SE"/>
        </w:rPr>
      </w:pPr>
      <w:r w:rsidRPr="001B743F">
        <w:rPr>
          <w:lang w:eastAsia="sv-SE"/>
        </w:rPr>
        <w:t>Funktionsrätt Sverige är en samarbetsorganisation för 4</w:t>
      </w:r>
      <w:r w:rsidR="004455B9">
        <w:rPr>
          <w:lang w:eastAsia="sv-SE"/>
        </w:rPr>
        <w:t>9</w:t>
      </w:r>
      <w:r w:rsidRPr="001B743F">
        <w:rPr>
          <w:lang w:eastAsia="sv-SE"/>
        </w:rPr>
        <w:t xml:space="preserve">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07FE8C5F" w14:textId="05F42053" w:rsidR="00750EF0" w:rsidRDefault="00750EF0" w:rsidP="00750EF0"/>
    <w:p w14:paraId="651E8579" w14:textId="7EDC16A3" w:rsidR="0006737B" w:rsidRDefault="001138A6" w:rsidP="0006737B">
      <w:pPr>
        <w:pStyle w:val="Rubrik2"/>
      </w:pPr>
      <w:r>
        <w:t>Sammanfattning</w:t>
      </w:r>
    </w:p>
    <w:p w14:paraId="3D8F36F7" w14:textId="2AB49D63" w:rsidR="007F044B" w:rsidRDefault="00D313E0" w:rsidP="00220C38">
      <w:r>
        <w:t>Tillgänglighetsdirektivet, känt som d</w:t>
      </w:r>
      <w:r w:rsidR="00F722F9">
        <w:t>en europeiska tillgänglighetslagen</w:t>
      </w:r>
      <w:r>
        <w:t xml:space="preserve">, </w:t>
      </w:r>
      <w:r w:rsidR="00713E52">
        <w:t>antogs 2019 av EU och ska vara infört i nationell lag senast i juni 2022.</w:t>
      </w:r>
      <w:r w:rsidR="007F044B">
        <w:t xml:space="preserve"> </w:t>
      </w:r>
      <w:r w:rsidR="00D756F8">
        <w:t>Lagen omfattar</w:t>
      </w:r>
      <w:r w:rsidR="005D0C38">
        <w:t xml:space="preserve"> </w:t>
      </w:r>
      <w:r w:rsidR="00E64FB5">
        <w:t xml:space="preserve">krav på tillgänglighet </w:t>
      </w:r>
      <w:r w:rsidR="00B732DF">
        <w:t xml:space="preserve">för produkter och tjänster </w:t>
      </w:r>
      <w:r w:rsidR="003E4DF3">
        <w:t xml:space="preserve">med syftet att ta bort hinder på den inre marknaden och </w:t>
      </w:r>
      <w:r w:rsidR="00210FC6">
        <w:t xml:space="preserve">att </w:t>
      </w:r>
      <w:r w:rsidR="003E4DF3">
        <w:t xml:space="preserve">stärka </w:t>
      </w:r>
      <w:r w:rsidR="005E3321" w:rsidRPr="004051BC">
        <w:t xml:space="preserve">förutsättningarna </w:t>
      </w:r>
      <w:r w:rsidR="00210FC6" w:rsidRPr="004051BC">
        <w:t xml:space="preserve">för personer som annars möter funktionshinder </w:t>
      </w:r>
      <w:r w:rsidR="005E3321" w:rsidRPr="004051BC">
        <w:t>att åtnjuta sina mänskliga</w:t>
      </w:r>
      <w:r w:rsidR="005E3321">
        <w:t xml:space="preserve"> </w:t>
      </w:r>
      <w:r w:rsidR="003E4DF3">
        <w:t>rättigheter.</w:t>
      </w:r>
      <w:r w:rsidR="00C24703">
        <w:t xml:space="preserve"> Under utredningen ställdes dessa syften mot varandra</w:t>
      </w:r>
      <w:r w:rsidR="00E0464F">
        <w:t xml:space="preserve"> och </w:t>
      </w:r>
      <w:r w:rsidR="00CA21CA">
        <w:t>tolkning</w:t>
      </w:r>
      <w:r w:rsidR="00926A23">
        <w:t>en</w:t>
      </w:r>
      <w:r w:rsidR="00CA21CA">
        <w:t xml:space="preserve"> </w:t>
      </w:r>
      <w:r w:rsidR="00284988">
        <w:t xml:space="preserve">landade i att prioritera det som ansågs handla om </w:t>
      </w:r>
      <w:r w:rsidR="00C13663">
        <w:t xml:space="preserve">nytta för företagen </w:t>
      </w:r>
      <w:r w:rsidR="00E6494F">
        <w:t xml:space="preserve">framför </w:t>
      </w:r>
      <w:r w:rsidR="00C13663">
        <w:t>rättighet</w:t>
      </w:r>
      <w:r w:rsidR="00210FC6">
        <w:t>sperspektivet</w:t>
      </w:r>
      <w:r w:rsidR="00C13663">
        <w:t xml:space="preserve">. </w:t>
      </w:r>
    </w:p>
    <w:p w14:paraId="3F574AF3" w14:textId="77777777" w:rsidR="007F044B" w:rsidRDefault="007F044B" w:rsidP="00220C38"/>
    <w:p w14:paraId="28E75EC9" w14:textId="127B538D" w:rsidR="0060437F" w:rsidRPr="00427A84" w:rsidRDefault="00440907" w:rsidP="0060437F">
      <w:pPr>
        <w:rPr>
          <w:b/>
          <w:bCs/>
        </w:rPr>
      </w:pPr>
      <w:r>
        <w:t>Betänkandet</w:t>
      </w:r>
      <w:r w:rsidR="0045127F">
        <w:t xml:space="preserve">s slagsida riskerar </w:t>
      </w:r>
      <w:r w:rsidR="00D14FB0">
        <w:t xml:space="preserve">leda till att </w:t>
      </w:r>
      <w:r w:rsidR="00B43EEE">
        <w:t xml:space="preserve">resurser slösas på att </w:t>
      </w:r>
      <w:r w:rsidR="00CC6747">
        <w:t>slippa genomföra tillgänglighetskrav.</w:t>
      </w:r>
      <w:r w:rsidR="00AD13E3">
        <w:t xml:space="preserve"> Det är långt ifrån syftet med </w:t>
      </w:r>
      <w:r w:rsidR="00832323">
        <w:t>direktivet</w:t>
      </w:r>
      <w:r w:rsidR="00AD13E3">
        <w:t xml:space="preserve">. </w:t>
      </w:r>
      <w:r w:rsidR="0060437F">
        <w:t>I vårt särskilda yttrande</w:t>
      </w:r>
      <w:r w:rsidR="0060437F">
        <w:rPr>
          <w:rStyle w:val="Fotnotsreferens"/>
        </w:rPr>
        <w:footnoteReference w:id="1"/>
      </w:r>
      <w:r w:rsidR="0060437F">
        <w:t xml:space="preserve"> finns konkreta förslag till ändringar som behövs för att svensk lag ska vara i linje med direktivet</w:t>
      </w:r>
      <w:r w:rsidR="00FF6ABE">
        <w:t xml:space="preserve">. </w:t>
      </w:r>
    </w:p>
    <w:p w14:paraId="51BAEFFF" w14:textId="77777777" w:rsidR="00255CCC" w:rsidRDefault="00255CCC" w:rsidP="00220C38"/>
    <w:p w14:paraId="2AEC9D9D" w14:textId="77777777" w:rsidR="00BB7456" w:rsidRPr="00BB7456" w:rsidRDefault="00BB7456" w:rsidP="00BB59CF">
      <w:pPr>
        <w:pStyle w:val="Liststycke"/>
        <w:numPr>
          <w:ilvl w:val="0"/>
          <w:numId w:val="19"/>
        </w:numPr>
      </w:pPr>
      <w:r w:rsidRPr="00BB7456">
        <w:t>Stryk ordet digitala från titeln på svensk lag och förordning</w:t>
      </w:r>
    </w:p>
    <w:p w14:paraId="526749F4" w14:textId="51BD6E60" w:rsidR="00BB7456" w:rsidRPr="00BB7456" w:rsidRDefault="00BB7456" w:rsidP="00BB59CF">
      <w:pPr>
        <w:pStyle w:val="Liststycke"/>
        <w:numPr>
          <w:ilvl w:val="0"/>
          <w:numId w:val="19"/>
        </w:numPr>
      </w:pPr>
      <w:r w:rsidRPr="00BB7456">
        <w:t>Ändra oskäligt betungande till ”oproportionerligt stor börda”</w:t>
      </w:r>
    </w:p>
    <w:p w14:paraId="5F8CFF23" w14:textId="677523D0" w:rsidR="00BB7456" w:rsidRPr="00BB7456" w:rsidRDefault="00BB59CF" w:rsidP="00BB59CF">
      <w:pPr>
        <w:pStyle w:val="Liststycke"/>
        <w:numPr>
          <w:ilvl w:val="0"/>
          <w:numId w:val="19"/>
        </w:numPr>
      </w:pPr>
      <w:r>
        <w:t>Lägg b</w:t>
      </w:r>
      <w:r w:rsidR="00BB7456" w:rsidRPr="00BB7456">
        <w:t xml:space="preserve">estämmelser om oproportionerligt stor börda </w:t>
      </w:r>
      <w:r>
        <w:t xml:space="preserve">i </w:t>
      </w:r>
      <w:r w:rsidR="00BB7456" w:rsidRPr="00BB7456">
        <w:t xml:space="preserve">föreskrifter </w:t>
      </w:r>
    </w:p>
    <w:p w14:paraId="038BD69A" w14:textId="23CC9CEB" w:rsidR="00BB7456" w:rsidRPr="00BB7456" w:rsidRDefault="00BB7456" w:rsidP="00BB59CF">
      <w:pPr>
        <w:pStyle w:val="Liststycke"/>
        <w:numPr>
          <w:ilvl w:val="0"/>
          <w:numId w:val="19"/>
        </w:numPr>
      </w:pPr>
      <w:r w:rsidRPr="00BB7456">
        <w:t>Inför artikel 24.2 om andra unionsakter</w:t>
      </w:r>
      <w:r w:rsidR="00BB59CF">
        <w:t xml:space="preserve">, inklusive </w:t>
      </w:r>
      <w:r w:rsidRPr="00BB7456">
        <w:t xml:space="preserve">upphandling </w:t>
      </w:r>
    </w:p>
    <w:p w14:paraId="26B47B62" w14:textId="77777777" w:rsidR="00BB7456" w:rsidRPr="00BB7456" w:rsidRDefault="00BB7456" w:rsidP="00BB59CF">
      <w:pPr>
        <w:pStyle w:val="Liststycke"/>
        <w:numPr>
          <w:ilvl w:val="0"/>
          <w:numId w:val="19"/>
        </w:numPr>
      </w:pPr>
      <w:r w:rsidRPr="00BB7456">
        <w:t>Inför artikel 29.2 om klagomålsstruktur för konsumenter</w:t>
      </w:r>
    </w:p>
    <w:p w14:paraId="6ECA9D52" w14:textId="7D4DA656" w:rsidR="00BB7456" w:rsidRPr="00BB7456" w:rsidRDefault="00242BD0" w:rsidP="00BB59CF">
      <w:pPr>
        <w:pStyle w:val="Liststycke"/>
        <w:numPr>
          <w:ilvl w:val="0"/>
          <w:numId w:val="19"/>
        </w:numPr>
      </w:pPr>
      <w:r>
        <w:t>Utred och i</w:t>
      </w:r>
      <w:r w:rsidR="00BB7456" w:rsidRPr="00BB7456">
        <w:t>nför krav på</w:t>
      </w:r>
      <w:r w:rsidR="00E90EC9">
        <w:t xml:space="preserve"> tillgänglighet till byggd miljö, </w:t>
      </w:r>
      <w:proofErr w:type="spellStart"/>
      <w:r w:rsidR="00BB7456" w:rsidRPr="00BB7456">
        <w:t>lärplattformar</w:t>
      </w:r>
      <w:proofErr w:type="spellEnd"/>
      <w:r w:rsidR="00BB7456" w:rsidRPr="00BB7456">
        <w:t>, digitala läromedel och i</w:t>
      </w:r>
      <w:r>
        <w:t xml:space="preserve"> hela</w:t>
      </w:r>
      <w:r w:rsidR="00BB7456" w:rsidRPr="00BB7456">
        <w:t xml:space="preserve"> kollektivtrafik</w:t>
      </w:r>
      <w:r>
        <w:t>en</w:t>
      </w:r>
    </w:p>
    <w:p w14:paraId="3EB8BAE2" w14:textId="77777777" w:rsidR="00440907" w:rsidRDefault="00743DBE" w:rsidP="00BB59CF">
      <w:pPr>
        <w:pStyle w:val="Liststycke"/>
        <w:numPr>
          <w:ilvl w:val="0"/>
          <w:numId w:val="19"/>
        </w:numPr>
      </w:pPr>
      <w:r>
        <w:t xml:space="preserve">Renodla </w:t>
      </w:r>
      <w:r w:rsidR="00BB7456" w:rsidRPr="00BB7456">
        <w:t xml:space="preserve">PTS roll och </w:t>
      </w:r>
      <w:r>
        <w:t xml:space="preserve">ta bort </w:t>
      </w:r>
      <w:r w:rsidR="00BB7456" w:rsidRPr="00BB7456">
        <w:t>uppgifter utöver direktivet</w:t>
      </w:r>
      <w:r w:rsidR="006A776C">
        <w:t xml:space="preserve"> Konsumentverket, inte MFD, bör få </w:t>
      </w:r>
      <w:r w:rsidR="00E90379">
        <w:t>särskild uppgift</w:t>
      </w:r>
      <w:r w:rsidR="006A776C">
        <w:t>.</w:t>
      </w:r>
      <w:r w:rsidR="00440907">
        <w:t xml:space="preserve"> </w:t>
      </w:r>
    </w:p>
    <w:p w14:paraId="088C41E0" w14:textId="77777777" w:rsidR="00440907" w:rsidRDefault="00440907" w:rsidP="00BB7456">
      <w:pPr>
        <w:pStyle w:val="Liststycke"/>
        <w:numPr>
          <w:ilvl w:val="0"/>
          <w:numId w:val="19"/>
        </w:numPr>
      </w:pPr>
      <w:r w:rsidRPr="00BB7456">
        <w:t xml:space="preserve">Funktionsrättsorganisationernas </w:t>
      </w:r>
      <w:r>
        <w:t>bör involveras i övervakning</w:t>
      </w:r>
    </w:p>
    <w:p w14:paraId="68A10E5C" w14:textId="6EDBFD2B" w:rsidR="00BB7456" w:rsidRPr="00BB7456" w:rsidRDefault="00BB7456" w:rsidP="00BB7456">
      <w:pPr>
        <w:pStyle w:val="Liststycke"/>
        <w:numPr>
          <w:ilvl w:val="0"/>
          <w:numId w:val="19"/>
        </w:numPr>
      </w:pPr>
      <w:r w:rsidRPr="00BB7456">
        <w:t>Använd EN 17161 Tillgänglighet genom universell utformning</w:t>
      </w:r>
    </w:p>
    <w:p w14:paraId="5B7E1F4D" w14:textId="77777777" w:rsidR="00616732" w:rsidRDefault="00616732" w:rsidP="000B50A3"/>
    <w:p w14:paraId="5C7A1014" w14:textId="5B637BD4" w:rsidR="00211CA7" w:rsidRPr="00211CA7" w:rsidRDefault="00211CA7" w:rsidP="000B50A3">
      <w:pPr>
        <w:rPr>
          <w:b/>
          <w:bCs/>
        </w:rPr>
      </w:pPr>
      <w:r>
        <w:lastRenderedPageBreak/>
        <w:t>Sedan</w:t>
      </w:r>
      <w:r w:rsidR="003142F3">
        <w:t xml:space="preserve"> vi skrev vårt </w:t>
      </w:r>
      <w:r w:rsidR="00616732">
        <w:t xml:space="preserve">särskilda </w:t>
      </w:r>
      <w:r w:rsidR="003142F3">
        <w:t xml:space="preserve">yttrande </w:t>
      </w:r>
      <w:r w:rsidR="00616732">
        <w:t xml:space="preserve">till betänkandet </w:t>
      </w:r>
      <w:r w:rsidR="003142F3">
        <w:t xml:space="preserve">har vi insett att </w:t>
      </w:r>
      <w:r w:rsidR="007D095A">
        <w:t xml:space="preserve">förslagen </w:t>
      </w:r>
      <w:r w:rsidR="00191131">
        <w:t xml:space="preserve">ytterligare </w:t>
      </w:r>
      <w:r w:rsidR="003142F3">
        <w:t xml:space="preserve">begränsar </w:t>
      </w:r>
      <w:r w:rsidR="00210FC6">
        <w:t xml:space="preserve">direktivets egentliga </w:t>
      </w:r>
      <w:r w:rsidR="003142F3">
        <w:t>omfattning</w:t>
      </w:r>
      <w:r w:rsidR="00210FC6">
        <w:t xml:space="preserve">. </w:t>
      </w:r>
      <w:r>
        <w:t xml:space="preserve">EU-kommissionen </w:t>
      </w:r>
      <w:r w:rsidR="00191131">
        <w:t xml:space="preserve">har </w:t>
      </w:r>
      <w:r w:rsidR="00210FC6">
        <w:t xml:space="preserve">dessutom </w:t>
      </w:r>
      <w:r>
        <w:t xml:space="preserve">publicerat </w:t>
      </w:r>
      <w:r w:rsidR="00210FC6">
        <w:t xml:space="preserve">ett </w:t>
      </w:r>
      <w:r>
        <w:t xml:space="preserve">utkast till standardiseringsmandat med innehåll som </w:t>
      </w:r>
      <w:r w:rsidR="00616732">
        <w:t xml:space="preserve">understryker våra synpunkter i </w:t>
      </w:r>
      <w:r w:rsidR="00210FC6">
        <w:t xml:space="preserve">de </w:t>
      </w:r>
      <w:r>
        <w:t>underlag som vi</w:t>
      </w:r>
      <w:r w:rsidR="00AF37AA">
        <w:t xml:space="preserve"> </w:t>
      </w:r>
      <w:r w:rsidR="00B43EEE">
        <w:t>tidigare</w:t>
      </w:r>
      <w:r>
        <w:t xml:space="preserve"> lämnat till utredningen. </w:t>
      </w:r>
      <w:r w:rsidR="00B277AE">
        <w:t xml:space="preserve">Vi </w:t>
      </w:r>
      <w:r w:rsidR="009746ED">
        <w:t>ger fle</w:t>
      </w:r>
      <w:r w:rsidR="006711CD">
        <w:t>r</w:t>
      </w:r>
      <w:r w:rsidR="009746ED">
        <w:t xml:space="preserve"> konkreta förslag</w:t>
      </w:r>
      <w:r w:rsidR="00616AF4">
        <w:t xml:space="preserve"> i </w:t>
      </w:r>
      <w:r w:rsidR="00AF37AA">
        <w:t>remissvaret</w:t>
      </w:r>
      <w:r w:rsidR="00616AF4">
        <w:t xml:space="preserve">. </w:t>
      </w:r>
      <w:r w:rsidR="00616732">
        <w:t xml:space="preserve">Vår förhoppning är att fler remissinstanser ska se </w:t>
      </w:r>
      <w:r w:rsidR="00210FC6">
        <w:t xml:space="preserve">att </w:t>
      </w:r>
      <w:r w:rsidR="006711CD">
        <w:t xml:space="preserve">detaljer </w:t>
      </w:r>
      <w:r w:rsidR="00210FC6">
        <w:t xml:space="preserve">har </w:t>
      </w:r>
      <w:r w:rsidR="006711CD">
        <w:t xml:space="preserve">förlorats. </w:t>
      </w:r>
    </w:p>
    <w:p w14:paraId="032E7A37" w14:textId="1B5A99C0" w:rsidR="00A16C21" w:rsidRDefault="00A16C21">
      <w:pPr>
        <w:tabs>
          <w:tab w:val="clear" w:pos="3686"/>
          <w:tab w:val="clear" w:pos="4536"/>
        </w:tabs>
        <w:rPr>
          <w:rFonts w:ascii="Arial" w:eastAsiaTheme="majorEastAsia" w:hAnsi="Arial" w:cstheme="majorBidi"/>
          <w:b/>
          <w:bCs/>
          <w:sz w:val="28"/>
        </w:rPr>
      </w:pPr>
    </w:p>
    <w:p w14:paraId="20E41FD6" w14:textId="758B7C5A" w:rsidR="00153E2E" w:rsidRDefault="00153E2E" w:rsidP="00153E2E">
      <w:pPr>
        <w:pStyle w:val="Rubrik2"/>
      </w:pPr>
      <w:r>
        <w:t>Inledande synpunkter</w:t>
      </w:r>
    </w:p>
    <w:p w14:paraId="3DC0CB1E" w14:textId="0530A057" w:rsidR="008E4780" w:rsidRDefault="00F57E86" w:rsidP="00153E2E">
      <w:pPr>
        <w:rPr>
          <w:b/>
          <w:bCs/>
        </w:rPr>
      </w:pPr>
      <w:r>
        <w:rPr>
          <w:b/>
          <w:bCs/>
        </w:rPr>
        <w:t>Gemensamma</w:t>
      </w:r>
      <w:r w:rsidR="00067B1D">
        <w:rPr>
          <w:b/>
          <w:bCs/>
        </w:rPr>
        <w:t xml:space="preserve"> </w:t>
      </w:r>
      <w:r w:rsidR="00634A85">
        <w:rPr>
          <w:b/>
          <w:bCs/>
        </w:rPr>
        <w:t>tillgänglighetskrav på produkter och tjänster</w:t>
      </w:r>
      <w:r w:rsidR="00D80527">
        <w:rPr>
          <w:b/>
          <w:bCs/>
        </w:rPr>
        <w:t xml:space="preserve"> i enlighet med åtaganden i Funktionsrättskonventionen</w:t>
      </w:r>
      <w:r>
        <w:rPr>
          <w:b/>
          <w:bCs/>
        </w:rPr>
        <w:t xml:space="preserve"> </w:t>
      </w:r>
      <w:r w:rsidR="004B0D16">
        <w:rPr>
          <w:b/>
          <w:bCs/>
        </w:rPr>
        <w:t>underlättar borttagandet</w:t>
      </w:r>
      <w:r w:rsidR="00210FC6">
        <w:rPr>
          <w:b/>
          <w:bCs/>
        </w:rPr>
        <w:t xml:space="preserve"> av </w:t>
      </w:r>
      <w:r w:rsidR="008B657D">
        <w:rPr>
          <w:b/>
          <w:bCs/>
        </w:rPr>
        <w:t>hinder på den inre marknaden</w:t>
      </w:r>
      <w:r w:rsidR="00634A85">
        <w:rPr>
          <w:b/>
          <w:bCs/>
        </w:rPr>
        <w:t>, men</w:t>
      </w:r>
      <w:r w:rsidR="008B657D">
        <w:rPr>
          <w:b/>
          <w:bCs/>
        </w:rPr>
        <w:t xml:space="preserve"> be</w:t>
      </w:r>
      <w:r w:rsidR="00634A85">
        <w:rPr>
          <w:b/>
          <w:bCs/>
        </w:rPr>
        <w:t>tänkandet l</w:t>
      </w:r>
      <w:r w:rsidR="008B657D">
        <w:rPr>
          <w:b/>
          <w:bCs/>
        </w:rPr>
        <w:t>ä</w:t>
      </w:r>
      <w:r w:rsidR="00634A85">
        <w:rPr>
          <w:b/>
          <w:bCs/>
        </w:rPr>
        <w:t xml:space="preserve">gger tyngdpunkten på kostnader </w:t>
      </w:r>
      <w:r w:rsidR="00B86DE0">
        <w:rPr>
          <w:b/>
          <w:bCs/>
        </w:rPr>
        <w:t>i stället</w:t>
      </w:r>
      <w:r w:rsidR="00634A85">
        <w:rPr>
          <w:b/>
          <w:bCs/>
        </w:rPr>
        <w:t xml:space="preserve"> för nytta</w:t>
      </w:r>
      <w:r w:rsidR="008B657D">
        <w:rPr>
          <w:b/>
          <w:bCs/>
        </w:rPr>
        <w:t>n</w:t>
      </w:r>
      <w:r w:rsidR="00634A85">
        <w:rPr>
          <w:b/>
          <w:bCs/>
        </w:rPr>
        <w:t xml:space="preserve">. </w:t>
      </w:r>
      <w:r w:rsidR="008B657D">
        <w:rPr>
          <w:b/>
          <w:bCs/>
        </w:rPr>
        <w:t>D</w:t>
      </w:r>
      <w:r w:rsidR="00634A85" w:rsidRPr="00427A84">
        <w:rPr>
          <w:b/>
          <w:bCs/>
        </w:rPr>
        <w:t xml:space="preserve">et vittnar om bristande kunskap om </w:t>
      </w:r>
      <w:r w:rsidR="00210FC6">
        <w:rPr>
          <w:b/>
          <w:bCs/>
        </w:rPr>
        <w:t xml:space="preserve">mänskliga </w:t>
      </w:r>
      <w:r w:rsidR="0090130C">
        <w:rPr>
          <w:b/>
          <w:bCs/>
        </w:rPr>
        <w:t xml:space="preserve">rättigheter och </w:t>
      </w:r>
      <w:r w:rsidR="00634A85" w:rsidRPr="00427A84">
        <w:rPr>
          <w:b/>
          <w:bCs/>
        </w:rPr>
        <w:t xml:space="preserve">tillgänglighet </w:t>
      </w:r>
      <w:r w:rsidR="003E5FC8">
        <w:rPr>
          <w:b/>
          <w:bCs/>
        </w:rPr>
        <w:t>hos</w:t>
      </w:r>
      <w:r w:rsidR="00466648">
        <w:rPr>
          <w:b/>
          <w:bCs/>
        </w:rPr>
        <w:t xml:space="preserve"> de som har makt och ansvar.</w:t>
      </w:r>
    </w:p>
    <w:p w14:paraId="739FF5D2" w14:textId="77777777" w:rsidR="008E4780" w:rsidRDefault="008E4780" w:rsidP="00153E2E"/>
    <w:p w14:paraId="6DDC9B84" w14:textId="0A20B566" w:rsidR="00BF1EA5" w:rsidRDefault="00BA39EC" w:rsidP="00153E2E">
      <w:r>
        <w:t>Titeln på betänkandet</w:t>
      </w:r>
      <w:r w:rsidR="000822E5">
        <w:t>,</w:t>
      </w:r>
      <w:r>
        <w:t xml:space="preserve"> Tillgänglighetsdirektivet, kan</w:t>
      </w:r>
      <w:r w:rsidR="000822E5">
        <w:t xml:space="preserve"> förleda läsaren</w:t>
      </w:r>
      <w:r w:rsidR="00AF6546">
        <w:t xml:space="preserve"> av dokumentet</w:t>
      </w:r>
      <w:r w:rsidR="000822E5">
        <w:t xml:space="preserve"> att tro att detta faktiskt är </w:t>
      </w:r>
      <w:r w:rsidR="00030BC6">
        <w:t>den text som EU beslutade om 2019</w:t>
      </w:r>
      <w:r w:rsidR="000822E5">
        <w:t xml:space="preserve">. </w:t>
      </w:r>
      <w:r w:rsidR="00880C0F">
        <w:t xml:space="preserve">Men </w:t>
      </w:r>
      <w:r w:rsidR="004813E5">
        <w:t>texten är</w:t>
      </w:r>
      <w:r w:rsidR="00EB2187">
        <w:t xml:space="preserve"> en tolkning av direktivet med</w:t>
      </w:r>
      <w:r w:rsidR="00880C0F">
        <w:t xml:space="preserve"> </w:t>
      </w:r>
      <w:r w:rsidR="000822E5">
        <w:t xml:space="preserve">förslag till genomförande </w:t>
      </w:r>
      <w:r w:rsidR="00026A81">
        <w:t>av valda delar av direktivet i svensk lag</w:t>
      </w:r>
      <w:r w:rsidR="004051BC">
        <w:t xml:space="preserve"> (se bilaga 6).</w:t>
      </w:r>
      <w:r w:rsidR="00EB600C">
        <w:t xml:space="preserve"> </w:t>
      </w:r>
      <w:r w:rsidR="00984C58">
        <w:t xml:space="preserve">Betänkandet inleds med </w:t>
      </w:r>
      <w:r w:rsidR="005E17D6">
        <w:t xml:space="preserve">att hävda att detta </w:t>
      </w:r>
      <w:r w:rsidR="00984C58">
        <w:t>är ett ”</w:t>
      </w:r>
      <w:r w:rsidR="001820CA">
        <w:t>fullharmoniseringsdirektiv</w:t>
      </w:r>
      <w:r w:rsidR="00984C58">
        <w:t>”</w:t>
      </w:r>
      <w:r w:rsidR="001820CA">
        <w:t xml:space="preserve"> </w:t>
      </w:r>
      <w:r w:rsidR="005E17D6">
        <w:t>för att skapa ”en europeisk standard” för tillgänglighet. EU</w:t>
      </w:r>
      <w:r w:rsidR="00433C36">
        <w:t xml:space="preserve"> använder inte dessa begrepp</w:t>
      </w:r>
      <w:r w:rsidR="00B20BD2">
        <w:t>. U</w:t>
      </w:r>
      <w:r w:rsidR="00B754E0">
        <w:t xml:space="preserve">tredningens förslag </w:t>
      </w:r>
      <w:r w:rsidR="00F0784F">
        <w:t xml:space="preserve">är inte fullt harmoniserade. De </w:t>
      </w:r>
      <w:r w:rsidR="0005317A">
        <w:t xml:space="preserve">begränsar genomförandet av </w:t>
      </w:r>
      <w:r w:rsidR="00FA6503">
        <w:t>d</w:t>
      </w:r>
      <w:r w:rsidR="00F62327">
        <w:t>irektivet</w:t>
      </w:r>
      <w:r w:rsidR="00F0784F">
        <w:t xml:space="preserve"> och </w:t>
      </w:r>
      <w:r w:rsidR="007F7CA1">
        <w:t>undantag</w:t>
      </w:r>
      <w:r w:rsidR="00F0784F">
        <w:t>en</w:t>
      </w:r>
      <w:r w:rsidR="007F7CA1">
        <w:t xml:space="preserve"> </w:t>
      </w:r>
      <w:r w:rsidR="008C2B27">
        <w:t>i direktivet</w:t>
      </w:r>
      <w:r w:rsidR="00F0784F">
        <w:t xml:space="preserve"> har</w:t>
      </w:r>
      <w:r w:rsidR="008C2B27">
        <w:t xml:space="preserve"> </w:t>
      </w:r>
      <w:r w:rsidR="007F7CA1">
        <w:t>fått oproportionerligt stor</w:t>
      </w:r>
      <w:r w:rsidR="000D0868">
        <w:t>t</w:t>
      </w:r>
      <w:r w:rsidR="007F7CA1">
        <w:t xml:space="preserve"> utrymme</w:t>
      </w:r>
      <w:r w:rsidR="002A0110">
        <w:t xml:space="preserve"> </w:t>
      </w:r>
      <w:r w:rsidR="007F7CA1">
        <w:t xml:space="preserve">i </w:t>
      </w:r>
      <w:r w:rsidR="000D0868">
        <w:t xml:space="preserve">förslaget till </w:t>
      </w:r>
      <w:r w:rsidR="007F7CA1">
        <w:t>svensk författning.</w:t>
      </w:r>
    </w:p>
    <w:p w14:paraId="3B3649B0" w14:textId="2CB5BD21" w:rsidR="00070E1A" w:rsidRDefault="00070E1A" w:rsidP="00153E2E"/>
    <w:p w14:paraId="4C46601D" w14:textId="4D5A3DAF" w:rsidR="00210F20" w:rsidRDefault="00070E1A" w:rsidP="00153E2E">
      <w:r>
        <w:t xml:space="preserve">Medan </w:t>
      </w:r>
      <w:r w:rsidR="00AA1285">
        <w:t xml:space="preserve">tillgänglighet har blivit ett konkurrensmedel och en självklarhet för stora internationella företag, särskilt de största teknikjättarna, så </w:t>
      </w:r>
      <w:r w:rsidR="00500F3F">
        <w:t>ligger Sverige långt efter</w:t>
      </w:r>
      <w:r w:rsidR="00443CB3">
        <w:t xml:space="preserve"> utvecklingen. </w:t>
      </w:r>
      <w:r w:rsidR="000C5C4E">
        <w:t xml:space="preserve">Regeringen har inte prioriterat </w:t>
      </w:r>
      <w:r w:rsidR="00210F20">
        <w:t xml:space="preserve">frågorna och </w:t>
      </w:r>
      <w:r w:rsidR="007C4416">
        <w:t>har inte</w:t>
      </w:r>
      <w:r w:rsidR="00210F20">
        <w:t xml:space="preserve"> säkerställ</w:t>
      </w:r>
      <w:r w:rsidR="007C4416">
        <w:t>t</w:t>
      </w:r>
      <w:r w:rsidR="00210F20">
        <w:t xml:space="preserve"> regelefterlevnad när det gäller lagar om tillgänglighet till byggd miljö sedan 60-talet, tillgänglig kollektivtrafik sedan 70-talet, enkelt avhjälpta hinder och skall-krav på tillgänglighet i upphandlingslagen</w:t>
      </w:r>
      <w:r w:rsidR="001E207A">
        <w:t xml:space="preserve">. De förhandskrav på tillgänglighet som har gällt </w:t>
      </w:r>
      <w:r w:rsidR="000B54A7">
        <w:t xml:space="preserve">strukturfonderna, har bara tillämpats </w:t>
      </w:r>
      <w:r w:rsidR="008536A8">
        <w:t>n</w:t>
      </w:r>
      <w:r w:rsidR="000B54A7">
        <w:t xml:space="preserve">är det gäller Socialfonden. </w:t>
      </w:r>
      <w:r w:rsidR="001E207A">
        <w:t>Regionalfonden</w:t>
      </w:r>
      <w:r w:rsidR="000B54A7">
        <w:t>, som hanterats av Tillväxtverket och Näringsdepartementet</w:t>
      </w:r>
      <w:r w:rsidR="008536A8">
        <w:t>,</w:t>
      </w:r>
      <w:r w:rsidR="000B54A7">
        <w:t xml:space="preserve"> har inte arbetat med tillgänglighet i den betydelse som avses, nämligen för att ta bort funktionshinder.</w:t>
      </w:r>
    </w:p>
    <w:p w14:paraId="0A56610A" w14:textId="5DE040CF" w:rsidR="00C33720" w:rsidRDefault="00C33720" w:rsidP="00153E2E"/>
    <w:p w14:paraId="24F31A15" w14:textId="73899490" w:rsidR="00892364" w:rsidRPr="000B50A3" w:rsidRDefault="00231B83" w:rsidP="00CD79BE">
      <w:r>
        <w:t>Med e</w:t>
      </w:r>
      <w:r w:rsidR="00EB411C">
        <w:t xml:space="preserve">tt bättre genomförande av webbtillgänglighetsdirektivet och </w:t>
      </w:r>
      <w:r>
        <w:t xml:space="preserve">tillgänglighetslagen har Sverige förutsättningar att </w:t>
      </w:r>
      <w:r w:rsidR="00867F99">
        <w:t xml:space="preserve">utveckla </w:t>
      </w:r>
      <w:r w:rsidR="001A1188">
        <w:t xml:space="preserve">kunskap och </w:t>
      </w:r>
      <w:r w:rsidR="00867F99">
        <w:t>samarbeten som leder till innovationer som ka</w:t>
      </w:r>
      <w:r w:rsidR="0032185C">
        <w:t xml:space="preserve">n </w:t>
      </w:r>
      <w:r w:rsidR="004A079D">
        <w:t xml:space="preserve">bidra till att </w:t>
      </w:r>
      <w:r w:rsidR="00B97AAF">
        <w:t xml:space="preserve">fullgöra åtaganden om mänskliga rättigheter, närma sig </w:t>
      </w:r>
      <w:r w:rsidR="00B53BF2">
        <w:t xml:space="preserve">de </w:t>
      </w:r>
      <w:r w:rsidR="00B97AAF">
        <w:t xml:space="preserve">globala målen för </w:t>
      </w:r>
      <w:r w:rsidR="005169CF">
        <w:t>hållbar utveckling</w:t>
      </w:r>
      <w:r w:rsidR="00B97AAF">
        <w:t xml:space="preserve"> och </w:t>
      </w:r>
      <w:r w:rsidR="00892364">
        <w:t>stärka konkurrenskraft</w:t>
      </w:r>
      <w:r w:rsidR="00B53BF2">
        <w:t>en</w:t>
      </w:r>
      <w:r w:rsidR="00892364">
        <w:t xml:space="preserve"> för företag.</w:t>
      </w:r>
      <w:r w:rsidR="000B54A7">
        <w:t xml:space="preserve"> </w:t>
      </w:r>
    </w:p>
    <w:p w14:paraId="50AA9275" w14:textId="77777777" w:rsidR="0032185C" w:rsidRDefault="0032185C">
      <w:pPr>
        <w:tabs>
          <w:tab w:val="clear" w:pos="3686"/>
          <w:tab w:val="clear" w:pos="4536"/>
        </w:tabs>
        <w:rPr>
          <w:rFonts w:ascii="Arial" w:eastAsiaTheme="majorEastAsia" w:hAnsi="Arial" w:cstheme="majorBidi"/>
          <w:b/>
          <w:bCs/>
          <w:sz w:val="28"/>
        </w:rPr>
      </w:pPr>
      <w:r>
        <w:br w:type="page"/>
      </w:r>
    </w:p>
    <w:p w14:paraId="458338B4" w14:textId="575AC7A9" w:rsidR="008E5F37" w:rsidRDefault="00787FD0" w:rsidP="00787FD0">
      <w:pPr>
        <w:pStyle w:val="Rubrik2"/>
      </w:pPr>
      <w:r>
        <w:lastRenderedPageBreak/>
        <w:t>S</w:t>
      </w:r>
      <w:r w:rsidR="008E5F37">
        <w:t>ynpunkter på vissa förslag</w:t>
      </w:r>
    </w:p>
    <w:p w14:paraId="213CDB18" w14:textId="02E0D2A9" w:rsidR="00351D21" w:rsidRDefault="00B53BF2" w:rsidP="00351D21">
      <w:r>
        <w:t>B</w:t>
      </w:r>
      <w:r w:rsidR="00351D21">
        <w:t>etänkandets bilaga 6 ger en viss överblick av hur stora delar av direktivets artiklar föreslås undantas i svensk författning</w:t>
      </w:r>
      <w:r>
        <w:t>. Trots detta</w:t>
      </w:r>
      <w:r w:rsidR="00351D21">
        <w:t xml:space="preserve"> är </w:t>
      </w:r>
      <w:r>
        <w:t xml:space="preserve">det inte lätt att överblicka </w:t>
      </w:r>
      <w:r w:rsidR="00351D21">
        <w:t>vilka detaljer som gått förlorade i förslagen</w:t>
      </w:r>
      <w:r>
        <w:t xml:space="preserve"> och vilka konsekvenserna kan bli</w:t>
      </w:r>
      <w:r w:rsidR="00351D21">
        <w:t>.</w:t>
      </w:r>
    </w:p>
    <w:p w14:paraId="74028F35" w14:textId="77777777" w:rsidR="00351D21" w:rsidRDefault="00351D21" w:rsidP="005A5DF1"/>
    <w:p w14:paraId="3F3FE6D9" w14:textId="722369A8" w:rsidR="006D09BB" w:rsidRDefault="006D09BB" w:rsidP="0032185C">
      <w:pPr>
        <w:pStyle w:val="Rubrik3"/>
      </w:pPr>
      <w:r>
        <w:t>Kapitel 10 Val av författning</w:t>
      </w:r>
    </w:p>
    <w:p w14:paraId="446E8CD5" w14:textId="2FEE13DF" w:rsidR="00E75A33" w:rsidRDefault="0072682E" w:rsidP="0072682E">
      <w:r w:rsidRPr="005A4F2E">
        <w:rPr>
          <w:b/>
          <w:bCs/>
        </w:rPr>
        <w:t>Funktionsrätt Sverige tillstyrker</w:t>
      </w:r>
      <w:r w:rsidR="005A4F2E" w:rsidRPr="005A4F2E">
        <w:rPr>
          <w:b/>
          <w:bCs/>
        </w:rPr>
        <w:t xml:space="preserve"> en samlad lagstiftning i en ny lag</w:t>
      </w:r>
      <w:r w:rsidR="005A4F2E">
        <w:t xml:space="preserve">, </w:t>
      </w:r>
      <w:r w:rsidR="006E3F6B" w:rsidRPr="005D7556">
        <w:rPr>
          <w:b/>
          <w:bCs/>
        </w:rPr>
        <w:t>men</w:t>
      </w:r>
      <w:r w:rsidR="005D7556">
        <w:rPr>
          <w:b/>
          <w:bCs/>
        </w:rPr>
        <w:t xml:space="preserve"> vi</w:t>
      </w:r>
      <w:r w:rsidR="006E3F6B" w:rsidRPr="005D7556">
        <w:rPr>
          <w:b/>
          <w:bCs/>
        </w:rPr>
        <w:t xml:space="preserve"> avstyrker </w:t>
      </w:r>
      <w:r w:rsidR="0097350D" w:rsidRPr="005D7556">
        <w:rPr>
          <w:b/>
          <w:bCs/>
        </w:rPr>
        <w:t>kraftfullt förslaget at</w:t>
      </w:r>
      <w:r w:rsidR="005D7556" w:rsidRPr="005D7556">
        <w:rPr>
          <w:b/>
          <w:bCs/>
        </w:rPr>
        <w:t>t lägga till ”digital” i namnet på lagen</w:t>
      </w:r>
      <w:r w:rsidR="00C54913">
        <w:rPr>
          <w:b/>
          <w:bCs/>
        </w:rPr>
        <w:t xml:space="preserve"> (10.5)</w:t>
      </w:r>
      <w:r w:rsidR="005D7556">
        <w:t xml:space="preserve">. Det </w:t>
      </w:r>
      <w:r w:rsidR="00C54913">
        <w:t xml:space="preserve">är missvisande och </w:t>
      </w:r>
      <w:r w:rsidR="005D7556">
        <w:t xml:space="preserve">överensstämmer inte med </w:t>
      </w:r>
      <w:r w:rsidR="00C54913">
        <w:t>EU:s titel och innehållet i direktivet</w:t>
      </w:r>
      <w:r w:rsidR="00CF03CE">
        <w:t>. Krav på tillgänglighet rör</w:t>
      </w:r>
      <w:r w:rsidR="0002637C">
        <w:t xml:space="preserve"> </w:t>
      </w:r>
      <w:r w:rsidR="00351D21">
        <w:t xml:space="preserve">även </w:t>
      </w:r>
      <w:r w:rsidR="0002637C">
        <w:t>det som inte är digitalt,</w:t>
      </w:r>
      <w:r w:rsidR="00CF03CE">
        <w:t xml:space="preserve"> </w:t>
      </w:r>
      <w:r w:rsidR="004D6CDE">
        <w:t xml:space="preserve">manualer, kundservice och </w:t>
      </w:r>
      <w:r w:rsidR="00C763FD">
        <w:t xml:space="preserve">kan </w:t>
      </w:r>
      <w:r w:rsidR="004D6CDE">
        <w:t xml:space="preserve">tillämpas </w:t>
      </w:r>
      <w:r w:rsidR="00C763FD">
        <w:t xml:space="preserve">i fler sammanhang </w:t>
      </w:r>
      <w:r w:rsidR="004D6CDE">
        <w:t>för fler produkter och tjänster.</w:t>
      </w:r>
    </w:p>
    <w:p w14:paraId="523615FD" w14:textId="7FF675C1" w:rsidR="007410FF" w:rsidRDefault="007410FF" w:rsidP="0072682E"/>
    <w:p w14:paraId="22E44CB9" w14:textId="7EBBAD6B" w:rsidR="00A40630" w:rsidRDefault="00351D21" w:rsidP="00A40630">
      <w:r>
        <w:rPr>
          <w:b/>
          <w:bCs/>
        </w:rPr>
        <w:t xml:space="preserve">Genomförandelagen ska </w:t>
      </w:r>
      <w:r w:rsidR="00A40630">
        <w:rPr>
          <w:b/>
          <w:bCs/>
        </w:rPr>
        <w:t xml:space="preserve">omfatta nödkommunikation (10.4.2). </w:t>
      </w:r>
      <w:r w:rsidR="009A49DE">
        <w:rPr>
          <w:b/>
          <w:bCs/>
        </w:rPr>
        <w:br/>
      </w:r>
      <w:r w:rsidR="00F04A55">
        <w:t>D</w:t>
      </w:r>
      <w:r w:rsidR="00A40630" w:rsidRPr="00DC5CBA">
        <w:t xml:space="preserve">et räcker inte med </w:t>
      </w:r>
      <w:r w:rsidR="004348AA">
        <w:t xml:space="preserve">att hänvisa till </w:t>
      </w:r>
      <w:r w:rsidR="00A40630" w:rsidRPr="00DC5CBA">
        <w:t>ett avtal mellan staten och SOS alarm</w:t>
      </w:r>
      <w:r w:rsidR="00F05B9F">
        <w:t xml:space="preserve"> </w:t>
      </w:r>
      <w:r w:rsidR="00F04A55">
        <w:t>när det finns krav i direktivet</w:t>
      </w:r>
      <w:r w:rsidR="008E7781">
        <w:t xml:space="preserve"> (artikel 2.3)</w:t>
      </w:r>
      <w:r w:rsidR="00A40630" w:rsidRPr="00DC5CBA">
        <w:t>.</w:t>
      </w:r>
      <w:r w:rsidR="00A40630">
        <w:t xml:space="preserve"> Sverige har fått kritik från FN för brister i nödkommunikation som regeringen i sitt svar till FN</w:t>
      </w:r>
      <w:r w:rsidR="005F756A">
        <w:rPr>
          <w:rStyle w:val="Fotnotsreferens"/>
        </w:rPr>
        <w:footnoteReference w:id="2"/>
      </w:r>
      <w:r w:rsidR="00A40630">
        <w:t xml:space="preserve"> sagt att man inte åtgärdat alls. I synnerhet efter erfarenheterna av pandemin, kräver nödkommunikation reglering</w:t>
      </w:r>
      <w:r w:rsidR="00992256">
        <w:t>.</w:t>
      </w:r>
      <w:r w:rsidR="009A49DE">
        <w:t xml:space="preserve"> </w:t>
      </w:r>
      <w:r w:rsidR="00CE56E7">
        <w:t xml:space="preserve">Det går </w:t>
      </w:r>
      <w:r w:rsidR="004061D8">
        <w:t xml:space="preserve">inte att </w:t>
      </w:r>
      <w:r w:rsidR="00A40630">
        <w:t>förlita sig på ett avtal med en leverantör.</w:t>
      </w:r>
      <w:r w:rsidR="004061D8">
        <w:t xml:space="preserve"> EU-kommissionen har också föreslagit att en ny harmoniserad standard ska utvecklas.</w:t>
      </w:r>
    </w:p>
    <w:p w14:paraId="2B2A1781" w14:textId="08D48835" w:rsidR="00C54913" w:rsidRDefault="00C54913" w:rsidP="0072682E"/>
    <w:p w14:paraId="6989614F" w14:textId="169C757B" w:rsidR="002B44D4" w:rsidRDefault="005D7556" w:rsidP="0072682E">
      <w:r w:rsidRPr="006B176C">
        <w:rPr>
          <w:b/>
          <w:bCs/>
        </w:rPr>
        <w:t xml:space="preserve">Vi tillstyrker </w:t>
      </w:r>
      <w:r w:rsidR="005A4F2E" w:rsidRPr="006B176C">
        <w:rPr>
          <w:b/>
          <w:bCs/>
        </w:rPr>
        <w:t>hänvisning</w:t>
      </w:r>
      <w:r w:rsidR="005A4F2E">
        <w:t xml:space="preserve"> </w:t>
      </w:r>
      <w:r w:rsidR="005A4F2E" w:rsidRPr="004061D8">
        <w:rPr>
          <w:b/>
          <w:bCs/>
        </w:rPr>
        <w:t>till tillgänglighetsdirektivet i andra författningar</w:t>
      </w:r>
      <w:r w:rsidR="005A4F2E">
        <w:t>, såsom lagen om elektronisk kommunikation</w:t>
      </w:r>
      <w:r w:rsidR="00D33DC5">
        <w:t>, radioutrustningslagen (10.4.3)</w:t>
      </w:r>
      <w:r w:rsidR="004425BA">
        <w:t>, e-handelsförfattningar (10.4.</w:t>
      </w:r>
      <w:r w:rsidR="00D43F73">
        <w:t>6)</w:t>
      </w:r>
      <w:r w:rsidR="00855A33">
        <w:t xml:space="preserve">. </w:t>
      </w:r>
      <w:r w:rsidR="00004F4B" w:rsidRPr="004061D8">
        <w:rPr>
          <w:b/>
          <w:bCs/>
        </w:rPr>
        <w:t>Men v</w:t>
      </w:r>
      <w:r w:rsidR="00855A33" w:rsidRPr="004061D8">
        <w:rPr>
          <w:b/>
          <w:bCs/>
        </w:rPr>
        <w:t>i anser</w:t>
      </w:r>
      <w:r w:rsidR="006B176C" w:rsidRPr="004061D8">
        <w:rPr>
          <w:b/>
          <w:bCs/>
        </w:rPr>
        <w:t>,</w:t>
      </w:r>
      <w:r w:rsidR="00855A33" w:rsidRPr="004061D8">
        <w:rPr>
          <w:b/>
          <w:bCs/>
        </w:rPr>
        <w:t xml:space="preserve"> i motsats till utredningen</w:t>
      </w:r>
      <w:r w:rsidR="006B176C" w:rsidRPr="004061D8">
        <w:rPr>
          <w:b/>
          <w:bCs/>
        </w:rPr>
        <w:t>,</w:t>
      </w:r>
      <w:r w:rsidR="00855A33" w:rsidRPr="004061D8">
        <w:rPr>
          <w:b/>
          <w:bCs/>
        </w:rPr>
        <w:t xml:space="preserve"> att det ska finnas hänvisningar </w:t>
      </w:r>
      <w:r w:rsidR="00BD2A21" w:rsidRPr="004061D8">
        <w:rPr>
          <w:b/>
          <w:bCs/>
        </w:rPr>
        <w:t>i fler lagar</w:t>
      </w:r>
      <w:r w:rsidR="00BD2A21">
        <w:t xml:space="preserve">, </w:t>
      </w:r>
      <w:proofErr w:type="gramStart"/>
      <w:r w:rsidR="00BD2A21">
        <w:t>t ex</w:t>
      </w:r>
      <w:proofErr w:type="gramEnd"/>
      <w:r w:rsidR="00BD2A21">
        <w:t>,</w:t>
      </w:r>
      <w:r w:rsidR="00855A33">
        <w:t xml:space="preserve"> i radio- och </w:t>
      </w:r>
      <w:proofErr w:type="spellStart"/>
      <w:r w:rsidR="00855A33">
        <w:t>tvlagen</w:t>
      </w:r>
      <w:proofErr w:type="spellEnd"/>
      <w:r w:rsidR="00855A33">
        <w:t xml:space="preserve"> (10.4.4), </w:t>
      </w:r>
      <w:r w:rsidR="00216E03">
        <w:t>reglering som rör banktjänster (10.4.5)</w:t>
      </w:r>
      <w:r w:rsidR="00BD2A21">
        <w:t xml:space="preserve"> och i </w:t>
      </w:r>
      <w:r w:rsidR="00D82919" w:rsidRPr="00D82919">
        <w:t xml:space="preserve">lagen om offentlig upphandling </w:t>
      </w:r>
      <w:r w:rsidR="00D82919">
        <w:t>(10.4.8).</w:t>
      </w:r>
    </w:p>
    <w:p w14:paraId="70C5498A" w14:textId="23C92DAC" w:rsidR="00CE3A06" w:rsidRDefault="00CE3A06" w:rsidP="0072682E"/>
    <w:p w14:paraId="4608E838" w14:textId="6694DDFE" w:rsidR="00D8551F" w:rsidRDefault="00C76E92" w:rsidP="006D09BB">
      <w:r w:rsidRPr="00D9005B">
        <w:rPr>
          <w:b/>
          <w:bCs/>
        </w:rPr>
        <w:t>När det gäller elektronisk kommunikation</w:t>
      </w:r>
      <w:r>
        <w:t xml:space="preserve"> (10.4.1) </w:t>
      </w:r>
      <w:r w:rsidR="00040744">
        <w:t xml:space="preserve">vill </w:t>
      </w:r>
      <w:r>
        <w:t>vi</w:t>
      </w:r>
      <w:r w:rsidR="00040744">
        <w:t xml:space="preserve"> framhålla </w:t>
      </w:r>
      <w:r>
        <w:t xml:space="preserve">avsaknaden av aktiv involvering </w:t>
      </w:r>
      <w:r w:rsidR="00D8551F">
        <w:t xml:space="preserve">i </w:t>
      </w:r>
      <w:r w:rsidR="00040744">
        <w:t xml:space="preserve">processen för </w:t>
      </w:r>
      <w:r w:rsidR="00D8551F">
        <w:t xml:space="preserve">genomförandet av </w:t>
      </w:r>
      <w:r w:rsidR="003306DE">
        <w:t xml:space="preserve">kodexen för elektronisk kommunikation i Sverige. EU har kritiserat Sverige för att inte ha infört </w:t>
      </w:r>
      <w:r w:rsidR="00040744">
        <w:t xml:space="preserve">denna </w:t>
      </w:r>
      <w:r w:rsidR="009F66C6">
        <w:t>lagstiftning</w:t>
      </w:r>
      <w:r w:rsidR="003306DE">
        <w:t xml:space="preserve"> i tid</w:t>
      </w:r>
      <w:r w:rsidR="00E10024">
        <w:t>. B</w:t>
      </w:r>
      <w:r w:rsidR="007040D0">
        <w:t xml:space="preserve">estämmelserna </w:t>
      </w:r>
      <w:r w:rsidR="001A644B">
        <w:t xml:space="preserve">i kodexen som </w:t>
      </w:r>
      <w:r w:rsidR="00A234F4">
        <w:t xml:space="preserve">rör personer som möter funktionshinder </w:t>
      </w:r>
      <w:r w:rsidR="00722C22">
        <w:t>som g</w:t>
      </w:r>
      <w:r w:rsidR="001A644B">
        <w:t>år utöver Tillgänglighetsdirektivet</w:t>
      </w:r>
      <w:r w:rsidR="00722C22">
        <w:t xml:space="preserve"> </w:t>
      </w:r>
      <w:r w:rsidR="00E10024">
        <w:t xml:space="preserve">måste även </w:t>
      </w:r>
      <w:r w:rsidR="00722C22">
        <w:t>inför</w:t>
      </w:r>
      <w:r w:rsidR="00E10024">
        <w:t>a</w:t>
      </w:r>
      <w:r w:rsidR="00722C22">
        <w:t>s fullt ut i svensk författning</w:t>
      </w:r>
      <w:r w:rsidR="00A234F4">
        <w:t xml:space="preserve">. </w:t>
      </w:r>
    </w:p>
    <w:p w14:paraId="0BD6E270" w14:textId="4DB99989" w:rsidR="008C721B" w:rsidRDefault="008C721B" w:rsidP="006D09BB"/>
    <w:p w14:paraId="7E09C5BC" w14:textId="77777777" w:rsidR="005F756A" w:rsidRDefault="00711826" w:rsidP="00FD4F76">
      <w:r>
        <w:rPr>
          <w:b/>
          <w:bCs/>
        </w:rPr>
        <w:t>När det gäller</w:t>
      </w:r>
      <w:r w:rsidR="004202EB" w:rsidRPr="00FD4F76">
        <w:rPr>
          <w:b/>
          <w:bCs/>
        </w:rPr>
        <w:t xml:space="preserve"> lagen om offentlig upphandling</w:t>
      </w:r>
      <w:r w:rsidR="00FD4F76">
        <w:t xml:space="preserve"> (10.4.8)</w:t>
      </w:r>
      <w:r>
        <w:t xml:space="preserve"> räcker det inte </w:t>
      </w:r>
      <w:r w:rsidR="004202EB">
        <w:t xml:space="preserve">med </w:t>
      </w:r>
      <w:r w:rsidR="00694590">
        <w:t xml:space="preserve">ett uppdrag </w:t>
      </w:r>
      <w:r w:rsidR="004202EB">
        <w:t xml:space="preserve">till Upphandlingsmyndigheten </w:t>
      </w:r>
      <w:r w:rsidR="00694590">
        <w:t xml:space="preserve">med riktade medel för </w:t>
      </w:r>
      <w:r w:rsidR="00694590">
        <w:lastRenderedPageBreak/>
        <w:t>informationskampanjer</w:t>
      </w:r>
      <w:r w:rsidR="004202EB">
        <w:t>. Detta behöver</w:t>
      </w:r>
      <w:r w:rsidR="00694590">
        <w:t xml:space="preserve"> koppla</w:t>
      </w:r>
      <w:r w:rsidR="004202EB">
        <w:t>s</w:t>
      </w:r>
      <w:r w:rsidR="00694590">
        <w:t xml:space="preserve"> till</w:t>
      </w:r>
      <w:r w:rsidR="00DB6AD2">
        <w:t xml:space="preserve"> användning av de harmoniserade standarder som utvecklas</w:t>
      </w:r>
      <w:r w:rsidR="00FA6AC8">
        <w:t xml:space="preserve">. </w:t>
      </w:r>
      <w:r w:rsidR="006B176C">
        <w:t>D</w:t>
      </w:r>
      <w:r w:rsidR="00FA6AC8">
        <w:t>et krävs ä</w:t>
      </w:r>
      <w:r w:rsidR="00694590">
        <w:t>ven</w:t>
      </w:r>
      <w:r w:rsidR="00DB6AD2">
        <w:t xml:space="preserve"> uppdrag </w:t>
      </w:r>
      <w:r w:rsidR="004202EB">
        <w:t xml:space="preserve">som </w:t>
      </w:r>
    </w:p>
    <w:p w14:paraId="4C8AC794" w14:textId="11156D2B" w:rsidR="006D09BB" w:rsidRDefault="004202EB" w:rsidP="00FD4F76">
      <w:r>
        <w:t xml:space="preserve">rör statistik om tillgänglighetskrav samt uppdrag </w:t>
      </w:r>
      <w:r w:rsidR="00DB6AD2">
        <w:t>till K</w:t>
      </w:r>
      <w:r w:rsidR="00531A43">
        <w:t>onkurrensverket om tillsyn av obligatoriska krav på tillgänglighet i offentlig upphandling</w:t>
      </w:r>
      <w:r>
        <w:t xml:space="preserve"> inklusive ramavtal.</w:t>
      </w:r>
      <w:r w:rsidR="00C87DC9">
        <w:br/>
      </w:r>
    </w:p>
    <w:p w14:paraId="2E80050C" w14:textId="2155D162" w:rsidR="00A4352E" w:rsidRDefault="00CE6852" w:rsidP="00A4352E">
      <w:pPr>
        <w:pStyle w:val="Rubrik3"/>
      </w:pPr>
      <w:r>
        <w:t>O</w:t>
      </w:r>
      <w:r w:rsidR="004170EF" w:rsidRPr="00FD4F76">
        <w:t>ptionen som ställer krav på bebyggd miljö</w:t>
      </w:r>
      <w:r>
        <w:t xml:space="preserve"> ska användas</w:t>
      </w:r>
      <w:r w:rsidR="00FD4F76" w:rsidRPr="00FD4F76">
        <w:t xml:space="preserve"> (10.4.9)</w:t>
      </w:r>
      <w:r w:rsidR="004170EF" w:rsidRPr="00FD4F76">
        <w:t>.</w:t>
      </w:r>
      <w:r w:rsidR="004170EF">
        <w:t xml:space="preserve"> </w:t>
      </w:r>
    </w:p>
    <w:p w14:paraId="1CBBC148" w14:textId="794E4760" w:rsidR="00AE3558" w:rsidRDefault="00101CA8" w:rsidP="006D09BB">
      <w:r>
        <w:t xml:space="preserve">Funktionsrätt </w:t>
      </w:r>
      <w:r w:rsidR="009D40F4">
        <w:t xml:space="preserve">Sverige </w:t>
      </w:r>
      <w:r>
        <w:t xml:space="preserve">anser att möjligheten att ställa krav </w:t>
      </w:r>
      <w:r w:rsidR="00FF7686">
        <w:t xml:space="preserve">inom fler områden </w:t>
      </w:r>
      <w:r w:rsidR="0009249B">
        <w:t>ska användas</w:t>
      </w:r>
      <w:r w:rsidR="00F736D4">
        <w:t>. Ett enhetligt regelverk bidrar till kunskap</w:t>
      </w:r>
      <w:r w:rsidR="006B0EF1">
        <w:t xml:space="preserve"> </w:t>
      </w:r>
      <w:r w:rsidR="00F736D4">
        <w:t xml:space="preserve">och kostnadseffektiva lösningar </w:t>
      </w:r>
      <w:r w:rsidR="006B0EF1">
        <w:t>för</w:t>
      </w:r>
      <w:r w:rsidR="00F736D4">
        <w:t xml:space="preserve"> ett inkluderande och hållbart samhälle.</w:t>
      </w:r>
    </w:p>
    <w:p w14:paraId="5790B8DA" w14:textId="3C0AEFC3" w:rsidR="004170EF" w:rsidRDefault="00FF2A94" w:rsidP="006D09BB">
      <w:r>
        <w:t>Det pågår en försvagning av den svenska regleringen om tillgänglighet</w:t>
      </w:r>
      <w:r w:rsidR="00FF7686">
        <w:t xml:space="preserve"> till byggd miljö. T</w:t>
      </w:r>
      <w:r>
        <w:t xml:space="preserve">illsyn och systematisk tillämpning av krav har brustit i flera decennier. </w:t>
      </w:r>
      <w:r w:rsidR="0014764C">
        <w:t>D</w:t>
      </w:r>
      <w:r w:rsidR="00AE3558">
        <w:t xml:space="preserve">en </w:t>
      </w:r>
      <w:r w:rsidR="0078763F">
        <w:t xml:space="preserve">europeiska standarden EN 17210 </w:t>
      </w:r>
      <w:r w:rsidR="00AE3558">
        <w:t xml:space="preserve">som tagits fram för </w:t>
      </w:r>
      <w:r w:rsidR="0078763F">
        <w:t xml:space="preserve">tillgänglighet till byggd miljö </w:t>
      </w:r>
      <w:r w:rsidR="004D5390">
        <w:t xml:space="preserve">i upphandling på uppdrag av EU-kommissionen föreslås bli </w:t>
      </w:r>
      <w:r w:rsidR="0078763F">
        <w:t>harmonisera</w:t>
      </w:r>
      <w:r w:rsidR="004D5390">
        <w:t>d</w:t>
      </w:r>
      <w:r w:rsidR="005E580C">
        <w:t xml:space="preserve"> för </w:t>
      </w:r>
      <w:r w:rsidR="000026BB">
        <w:t xml:space="preserve">den </w:t>
      </w:r>
      <w:r w:rsidR="005E580C">
        <w:t>inre marknaden</w:t>
      </w:r>
      <w:r w:rsidR="0078763F">
        <w:t xml:space="preserve">. </w:t>
      </w:r>
      <w:r w:rsidR="005E580C">
        <w:t>EU har även kopplat t</w:t>
      </w:r>
      <w:r w:rsidR="003367ED">
        <w:t xml:space="preserve">illgänglighet till hållbar utveckling och energieffektivisering </w:t>
      </w:r>
      <w:r w:rsidR="00980B67">
        <w:t>som gäller renovering</w:t>
      </w:r>
      <w:r w:rsidR="004D6A21">
        <w:t>.</w:t>
      </w:r>
      <w:r w:rsidR="00941A6B">
        <w:rPr>
          <w:rStyle w:val="Fotnotsreferens"/>
        </w:rPr>
        <w:footnoteReference w:id="3"/>
      </w:r>
    </w:p>
    <w:p w14:paraId="634CE649" w14:textId="77777777" w:rsidR="006579E5" w:rsidRDefault="006579E5" w:rsidP="006D09BB"/>
    <w:p w14:paraId="0E49FEA4" w14:textId="69AAAC81" w:rsidR="00856CB6" w:rsidRPr="00F257A0" w:rsidRDefault="006579E5" w:rsidP="006D09BB">
      <w:r w:rsidRPr="006579E5">
        <w:rPr>
          <w:b/>
          <w:bCs/>
        </w:rPr>
        <w:t xml:space="preserve">Funktionsrätt Sverige </w:t>
      </w:r>
      <w:r w:rsidR="001535B4">
        <w:rPr>
          <w:b/>
          <w:bCs/>
        </w:rPr>
        <w:t>tillstyrker en syftesparagraf</w:t>
      </w:r>
      <w:r w:rsidR="00BC55D0">
        <w:rPr>
          <w:b/>
          <w:bCs/>
        </w:rPr>
        <w:t xml:space="preserve"> i lagen</w:t>
      </w:r>
      <w:r w:rsidR="001535B4">
        <w:rPr>
          <w:b/>
          <w:bCs/>
        </w:rPr>
        <w:t xml:space="preserve"> </w:t>
      </w:r>
      <w:r w:rsidR="001535B4" w:rsidRPr="00F257A0">
        <w:rPr>
          <w:b/>
          <w:bCs/>
        </w:rPr>
        <w:t xml:space="preserve">(10.6), men den </w:t>
      </w:r>
      <w:r w:rsidRPr="00F257A0">
        <w:rPr>
          <w:b/>
          <w:bCs/>
        </w:rPr>
        <w:t>ska vara i linje med direktivet</w:t>
      </w:r>
      <w:r w:rsidR="00B100B7" w:rsidRPr="00F257A0">
        <w:rPr>
          <w:b/>
          <w:bCs/>
        </w:rPr>
        <w:t>s artikel 1 och skäl 103.</w:t>
      </w:r>
      <w:r w:rsidR="00B100B7" w:rsidRPr="00F257A0">
        <w:t xml:space="preserve"> </w:t>
      </w:r>
      <w:r w:rsidRPr="00F257A0">
        <w:t xml:space="preserve"> </w:t>
      </w:r>
      <w:r w:rsidR="00F755EA" w:rsidRPr="00F257A0">
        <w:t>D</w:t>
      </w:r>
      <w:r w:rsidR="00B100B7" w:rsidRPr="00F257A0">
        <w:t xml:space="preserve">et är </w:t>
      </w:r>
      <w:r w:rsidR="001804D1" w:rsidRPr="00F257A0">
        <w:t>väsentliga skillnader</w:t>
      </w:r>
      <w:r w:rsidR="00DB26BB" w:rsidRPr="00F257A0">
        <w:t xml:space="preserve"> i förslaget.</w:t>
      </w:r>
      <w:r w:rsidR="0001195B" w:rsidRPr="00F257A0">
        <w:t xml:space="preserve"> </w:t>
      </w:r>
      <w:r w:rsidR="00CB73F5" w:rsidRPr="00F257A0">
        <w:t>D</w:t>
      </w:r>
      <w:r w:rsidR="00AF7DFF" w:rsidRPr="00F257A0">
        <w:t xml:space="preserve">irektivet </w:t>
      </w:r>
      <w:r w:rsidR="00CB73F5" w:rsidRPr="00F257A0">
        <w:t xml:space="preserve">är tvärsektoriellt och </w:t>
      </w:r>
      <w:r w:rsidR="00AF7DFF" w:rsidRPr="00F257A0">
        <w:t xml:space="preserve">syftar till att </w:t>
      </w:r>
      <w:r w:rsidR="00CB73F5" w:rsidRPr="00F257A0">
        <w:t xml:space="preserve">ta bort hinder på den inre marknaden </w:t>
      </w:r>
      <w:r w:rsidR="00856611" w:rsidRPr="00F257A0">
        <w:t>genom att</w:t>
      </w:r>
      <w:r w:rsidR="00CB73F5" w:rsidRPr="00F257A0">
        <w:t xml:space="preserve"> </w:t>
      </w:r>
      <w:r w:rsidR="00856611" w:rsidRPr="00F257A0">
        <w:t xml:space="preserve">komma överens om gemensamma </w:t>
      </w:r>
      <w:r w:rsidR="00AF7DFF" w:rsidRPr="00F257A0">
        <w:t>tillgänglighetskrav</w:t>
      </w:r>
      <w:r w:rsidR="00856611" w:rsidRPr="00F257A0">
        <w:t>.</w:t>
      </w:r>
      <w:r w:rsidR="00F35F8F" w:rsidRPr="00F257A0">
        <w:t xml:space="preserve"> Detta gäller som utgångspunkt även</w:t>
      </w:r>
      <w:r w:rsidR="004B0D16" w:rsidRPr="00F257A0">
        <w:t xml:space="preserve"> för</w:t>
      </w:r>
      <w:r w:rsidR="00F35F8F" w:rsidRPr="00F257A0">
        <w:t xml:space="preserve"> andra produkter och tjänster än de som definieras i direktivet.</w:t>
      </w:r>
    </w:p>
    <w:p w14:paraId="2C52CC11" w14:textId="77777777" w:rsidR="00856611" w:rsidRDefault="00856611" w:rsidP="00856CB6">
      <w:pPr>
        <w:rPr>
          <w:b/>
          <w:bCs/>
        </w:rPr>
      </w:pPr>
    </w:p>
    <w:p w14:paraId="2D52880C" w14:textId="4D1EA954" w:rsidR="00856CB6" w:rsidRDefault="008C2B46" w:rsidP="00856CB6">
      <w:r>
        <w:rPr>
          <w:b/>
          <w:bCs/>
        </w:rPr>
        <w:t>Eftersom EU och alla medlemsländer antagit</w:t>
      </w:r>
      <w:r w:rsidR="00856CB6">
        <w:t xml:space="preserve"> konventionen om rättigheter för personer med funktionsnedsättning</w:t>
      </w:r>
      <w:r w:rsidR="00856611">
        <w:t>, har de också åta</w:t>
      </w:r>
      <w:r w:rsidR="00856CB6">
        <w:t>git sig att ändra lagar och standarder för tillgänglighet i sina länder.</w:t>
      </w:r>
    </w:p>
    <w:p w14:paraId="105CD870" w14:textId="30520130" w:rsidR="006579E5" w:rsidRDefault="00F37D05" w:rsidP="006D09BB">
      <w:r>
        <w:t xml:space="preserve">Syftet är </w:t>
      </w:r>
      <w:r w:rsidR="005305D4">
        <w:t xml:space="preserve">alltså direkt kopplat till konventionen och </w:t>
      </w:r>
      <w:r w:rsidR="00D7552B">
        <w:t xml:space="preserve">ska undvika </w:t>
      </w:r>
      <w:r w:rsidR="00272CB6">
        <w:t xml:space="preserve">att </w:t>
      </w:r>
      <w:r w:rsidR="00F35F8F">
        <w:t xml:space="preserve">en fragmentisering </w:t>
      </w:r>
      <w:r w:rsidR="00272CB6">
        <w:t xml:space="preserve">av </w:t>
      </w:r>
      <w:r w:rsidR="00D7552B">
        <w:t>tillgänglighets</w:t>
      </w:r>
      <w:r>
        <w:t>krav</w:t>
      </w:r>
      <w:r w:rsidR="00D7552B">
        <w:t xml:space="preserve"> utvecklas</w:t>
      </w:r>
      <w:r>
        <w:t xml:space="preserve"> i medlemsländer</w:t>
      </w:r>
      <w:r w:rsidR="00D7552B">
        <w:t xml:space="preserve">. </w:t>
      </w:r>
    </w:p>
    <w:p w14:paraId="0A496DAB" w14:textId="38A6966A" w:rsidR="003F4FEC" w:rsidRPr="00DB26BB" w:rsidRDefault="003F4FEC" w:rsidP="006D09BB">
      <w:pPr>
        <w:rPr>
          <w:sz w:val="20"/>
          <w:szCs w:val="20"/>
        </w:rPr>
      </w:pPr>
    </w:p>
    <w:p w14:paraId="7FC49A41" w14:textId="3AC2ABAB" w:rsidR="007B2E32" w:rsidRDefault="00AA565B" w:rsidP="006D09BB">
      <w:r w:rsidRPr="0030083E">
        <w:rPr>
          <w:b/>
          <w:bCs/>
        </w:rPr>
        <w:t>Vi</w:t>
      </w:r>
      <w:r w:rsidR="00FF290B" w:rsidRPr="0030083E">
        <w:rPr>
          <w:b/>
          <w:bCs/>
        </w:rPr>
        <w:t xml:space="preserve"> avstyrker </w:t>
      </w:r>
      <w:r w:rsidR="00BC55D0" w:rsidRPr="0030083E">
        <w:rPr>
          <w:b/>
          <w:bCs/>
        </w:rPr>
        <w:t xml:space="preserve">det generella </w:t>
      </w:r>
      <w:r w:rsidR="00FF290B" w:rsidRPr="0030083E">
        <w:rPr>
          <w:b/>
          <w:bCs/>
        </w:rPr>
        <w:t xml:space="preserve">förslaget </w:t>
      </w:r>
      <w:r w:rsidR="006513BC" w:rsidRPr="0030083E">
        <w:rPr>
          <w:b/>
          <w:bCs/>
        </w:rPr>
        <w:t xml:space="preserve">om att regleringen ska ske på </w:t>
      </w:r>
      <w:r w:rsidR="006D09BB" w:rsidRPr="0030083E">
        <w:rPr>
          <w:b/>
          <w:bCs/>
        </w:rPr>
        <w:t>så låg författningsnivå som möjligt</w:t>
      </w:r>
      <w:r w:rsidR="0072748B" w:rsidRPr="0030083E">
        <w:rPr>
          <w:b/>
          <w:bCs/>
        </w:rPr>
        <w:t xml:space="preserve"> (10.8)</w:t>
      </w:r>
      <w:r w:rsidR="007338C2" w:rsidRPr="0030083E">
        <w:rPr>
          <w:b/>
          <w:bCs/>
        </w:rPr>
        <w:t>.</w:t>
      </w:r>
      <w:r w:rsidR="007338C2">
        <w:t xml:space="preserve"> </w:t>
      </w:r>
      <w:r w:rsidR="0068624C">
        <w:t>Det behövs en</w:t>
      </w:r>
      <w:r w:rsidR="007338C2">
        <w:t xml:space="preserve"> lag</w:t>
      </w:r>
      <w:r w:rsidR="0068624C">
        <w:t>, vilket utredningen också föreslår</w:t>
      </w:r>
      <w:r w:rsidR="005721BC">
        <w:t xml:space="preserve">, </w:t>
      </w:r>
      <w:r w:rsidR="0030083E">
        <w:t>och en</w:t>
      </w:r>
      <w:r w:rsidR="00802C3C">
        <w:t xml:space="preserve"> logik för </w:t>
      </w:r>
      <w:r w:rsidR="00CE50FF">
        <w:t>o</w:t>
      </w:r>
      <w:r w:rsidR="00605FAC">
        <w:t>mformuler</w:t>
      </w:r>
      <w:r w:rsidR="00CE50FF">
        <w:t>ingar</w:t>
      </w:r>
      <w:r w:rsidR="00605FAC">
        <w:t xml:space="preserve"> och</w:t>
      </w:r>
      <w:r w:rsidR="00CE50FF">
        <w:t xml:space="preserve"> </w:t>
      </w:r>
      <w:r w:rsidR="0068624C">
        <w:t>placer</w:t>
      </w:r>
      <w:r w:rsidR="00CE50FF">
        <w:t>ing</w:t>
      </w:r>
      <w:r w:rsidR="0068624C">
        <w:t xml:space="preserve"> på olika nivåer</w:t>
      </w:r>
      <w:r w:rsidR="007B2E32">
        <w:t xml:space="preserve">. Det </w:t>
      </w:r>
      <w:r w:rsidR="00CE50FF">
        <w:t xml:space="preserve">saknas och har gjort det </w:t>
      </w:r>
      <w:r w:rsidR="007B2E32">
        <w:t xml:space="preserve">svårt att se vilka detaljer i direktivet som </w:t>
      </w:r>
      <w:r w:rsidR="00783C82">
        <w:t>försvunnit eller omtolkats.</w:t>
      </w:r>
    </w:p>
    <w:p w14:paraId="2F88D6E1" w14:textId="77777777" w:rsidR="007B2E32" w:rsidRDefault="007B2E32" w:rsidP="006D09BB"/>
    <w:p w14:paraId="106701AC" w14:textId="2DCBF392" w:rsidR="006D09BB" w:rsidRDefault="006D09BB" w:rsidP="0032185C">
      <w:pPr>
        <w:pStyle w:val="Rubrik3"/>
      </w:pPr>
      <w:r>
        <w:t>Kapitel 11 Krav på tillgänglighet</w:t>
      </w:r>
    </w:p>
    <w:p w14:paraId="25485A07" w14:textId="51021102" w:rsidR="00376354" w:rsidRDefault="00BD7462" w:rsidP="00376354">
      <w:r w:rsidRPr="00D45433">
        <w:rPr>
          <w:b/>
          <w:bCs/>
        </w:rPr>
        <w:t xml:space="preserve">Funktionsrätt Sverige </w:t>
      </w:r>
      <w:r w:rsidR="00F35F8F">
        <w:rPr>
          <w:b/>
          <w:bCs/>
        </w:rPr>
        <w:t xml:space="preserve">konstaterar </w:t>
      </w:r>
      <w:r w:rsidR="004B0D16">
        <w:rPr>
          <w:b/>
          <w:bCs/>
        </w:rPr>
        <w:t xml:space="preserve">att </w:t>
      </w:r>
      <w:r w:rsidR="006C4B4D" w:rsidRPr="00D45433">
        <w:rPr>
          <w:b/>
          <w:bCs/>
        </w:rPr>
        <w:t>bilag</w:t>
      </w:r>
      <w:r w:rsidR="0027242F">
        <w:rPr>
          <w:b/>
          <w:bCs/>
        </w:rPr>
        <w:t>or</w:t>
      </w:r>
      <w:r w:rsidR="00F35F8F">
        <w:rPr>
          <w:b/>
          <w:bCs/>
        </w:rPr>
        <w:t>na</w:t>
      </w:r>
      <w:r w:rsidR="006C4B4D" w:rsidRPr="00D45433">
        <w:rPr>
          <w:b/>
          <w:bCs/>
        </w:rPr>
        <w:t xml:space="preserve"> med tillgänglighetskraven</w:t>
      </w:r>
      <w:r w:rsidR="006E0976" w:rsidRPr="00D45433">
        <w:rPr>
          <w:b/>
          <w:bCs/>
        </w:rPr>
        <w:t xml:space="preserve"> (11.1)</w:t>
      </w:r>
      <w:r w:rsidR="006C4B4D" w:rsidRPr="00D45433">
        <w:rPr>
          <w:b/>
          <w:bCs/>
        </w:rPr>
        <w:t xml:space="preserve"> är hjärtat i direktivet</w:t>
      </w:r>
      <w:r w:rsidR="00F35F8F">
        <w:rPr>
          <w:b/>
          <w:bCs/>
        </w:rPr>
        <w:t xml:space="preserve">. De kommer ligga till </w:t>
      </w:r>
      <w:r w:rsidR="00484403">
        <w:rPr>
          <w:b/>
          <w:bCs/>
        </w:rPr>
        <w:t xml:space="preserve">grund </w:t>
      </w:r>
      <w:r w:rsidR="00484403" w:rsidRPr="00D45433">
        <w:rPr>
          <w:b/>
          <w:bCs/>
        </w:rPr>
        <w:t>för</w:t>
      </w:r>
      <w:r w:rsidR="00F35F8F">
        <w:rPr>
          <w:b/>
          <w:bCs/>
        </w:rPr>
        <w:t xml:space="preserve"> ny unionsrätt, tillämpning av generella tillgänglighetskrav och de i direktivet definierade varorna och </w:t>
      </w:r>
      <w:r w:rsidR="00F35F8F">
        <w:rPr>
          <w:b/>
          <w:bCs/>
        </w:rPr>
        <w:lastRenderedPageBreak/>
        <w:t>tjänsterna</w:t>
      </w:r>
      <w:r w:rsidR="00484403">
        <w:rPr>
          <w:b/>
          <w:bCs/>
        </w:rPr>
        <w:t xml:space="preserve">. Införandet av dessa krav </w:t>
      </w:r>
      <w:r w:rsidR="00453AA9">
        <w:rPr>
          <w:b/>
          <w:bCs/>
        </w:rPr>
        <w:t>ska</w:t>
      </w:r>
      <w:r w:rsidR="006C4B4D" w:rsidRPr="00D45433">
        <w:rPr>
          <w:b/>
          <w:bCs/>
        </w:rPr>
        <w:t xml:space="preserve"> </w:t>
      </w:r>
      <w:r w:rsidR="00484403">
        <w:rPr>
          <w:b/>
          <w:bCs/>
        </w:rPr>
        <w:t xml:space="preserve">därför </w:t>
      </w:r>
      <w:r w:rsidR="006C4B4D" w:rsidRPr="00D45433">
        <w:rPr>
          <w:b/>
          <w:bCs/>
        </w:rPr>
        <w:t>lig</w:t>
      </w:r>
      <w:r w:rsidR="00C16104" w:rsidRPr="00D45433">
        <w:rPr>
          <w:b/>
          <w:bCs/>
        </w:rPr>
        <w:t xml:space="preserve">ga på hög </w:t>
      </w:r>
      <w:r w:rsidR="006E0976" w:rsidRPr="00D45433">
        <w:rPr>
          <w:b/>
          <w:bCs/>
        </w:rPr>
        <w:t>författnings</w:t>
      </w:r>
      <w:r w:rsidR="00C16104" w:rsidRPr="00D45433">
        <w:rPr>
          <w:b/>
          <w:bCs/>
        </w:rPr>
        <w:t>nivå</w:t>
      </w:r>
      <w:r w:rsidR="00C16104">
        <w:t xml:space="preserve">. </w:t>
      </w:r>
      <w:r w:rsidR="00484403">
        <w:t>T</w:t>
      </w:r>
      <w:r w:rsidR="00EF233F">
        <w:t xml:space="preserve">illgänglighetskraven i direktivtexten </w:t>
      </w:r>
      <w:r w:rsidR="007828D1">
        <w:t>är grunden</w:t>
      </w:r>
      <w:r w:rsidR="00EF233F">
        <w:t xml:space="preserve">, även om det kommer flera harmoniserade standarder, </w:t>
      </w:r>
      <w:proofErr w:type="spellStart"/>
      <w:r w:rsidR="007975B7">
        <w:t>genomförandeakter</w:t>
      </w:r>
      <w:proofErr w:type="spellEnd"/>
      <w:r w:rsidR="00EF233F">
        <w:t xml:space="preserve"> och andra stöd</w:t>
      </w:r>
      <w:r w:rsidR="00484403">
        <w:t>jande dokument</w:t>
      </w:r>
      <w:r w:rsidR="00EF233F">
        <w:t xml:space="preserve">. </w:t>
      </w:r>
      <w:r w:rsidR="00376354">
        <w:t xml:space="preserve">Undantag kan däremot förändras genom delegerade akter enligt artikel 14.7 och 26 i direktivet. För att inte göra undantag till regel och </w:t>
      </w:r>
      <w:r w:rsidR="00250913">
        <w:t xml:space="preserve">för att </w:t>
      </w:r>
      <w:r w:rsidR="00376354">
        <w:t xml:space="preserve">undvika </w:t>
      </w:r>
      <w:r w:rsidR="00506072">
        <w:t xml:space="preserve">behov </w:t>
      </w:r>
      <w:r w:rsidR="005E7178">
        <w:t>att</w:t>
      </w:r>
      <w:r w:rsidR="00506072">
        <w:t xml:space="preserve"> </w:t>
      </w:r>
      <w:r w:rsidR="00376354">
        <w:t>ändr</w:t>
      </w:r>
      <w:r w:rsidR="005E7178">
        <w:t>a</w:t>
      </w:r>
      <w:r w:rsidR="00307B1D">
        <w:t xml:space="preserve"> lag och förordning</w:t>
      </w:r>
      <w:r w:rsidR="00506072">
        <w:t xml:space="preserve"> </w:t>
      </w:r>
      <w:r w:rsidR="00756EEE">
        <w:t xml:space="preserve">bör </w:t>
      </w:r>
      <w:r w:rsidR="00506072">
        <w:t>undantag</w:t>
      </w:r>
      <w:r w:rsidR="00376354">
        <w:t xml:space="preserve"> ligga </w:t>
      </w:r>
      <w:r w:rsidR="00E54C69">
        <w:t>i</w:t>
      </w:r>
      <w:r w:rsidR="00376354">
        <w:t xml:space="preserve"> föreskrift</w:t>
      </w:r>
      <w:r w:rsidR="00E54C69">
        <w:t>er</w:t>
      </w:r>
      <w:r w:rsidR="00376354">
        <w:t>.</w:t>
      </w:r>
    </w:p>
    <w:p w14:paraId="372C711F" w14:textId="63B28CFE" w:rsidR="00376354" w:rsidRDefault="00376354" w:rsidP="002C0121"/>
    <w:p w14:paraId="048181C3" w14:textId="16721822" w:rsidR="003A2148" w:rsidRDefault="00390BCB" w:rsidP="00390BCB">
      <w:r w:rsidRPr="00951C9C">
        <w:rPr>
          <w:b/>
          <w:bCs/>
        </w:rPr>
        <w:t>Funktionsrätt Sverige anser</w:t>
      </w:r>
      <w:r>
        <w:t xml:space="preserve"> att utredningens bedömning när det gäller krav som ska gälla språk i banktjänster (11.6) är obegriplig</w:t>
      </w:r>
      <w:r w:rsidR="0042539D">
        <w:t xml:space="preserve"> och ologisk </w:t>
      </w:r>
      <w:r w:rsidR="006240E9">
        <w:t>i relation</w:t>
      </w:r>
      <w:r w:rsidR="0042539D">
        <w:t xml:space="preserve"> till </w:t>
      </w:r>
      <w:r w:rsidR="003A6143">
        <w:t xml:space="preserve">utredningens </w:t>
      </w:r>
      <w:r w:rsidR="0042539D">
        <w:t>övriga resonemang</w:t>
      </w:r>
      <w:r>
        <w:t xml:space="preserve">. Krav på begriplighet är en grund i tillgänglighetskraven i bilagor till direktivet. </w:t>
      </w:r>
      <w:r w:rsidR="00C35C0F">
        <w:t xml:space="preserve"> </w:t>
      </w:r>
      <w:r w:rsidR="0042539D">
        <w:t xml:space="preserve">Att </w:t>
      </w:r>
      <w:r w:rsidR="00EE3E89">
        <w:t xml:space="preserve">bedöma om </w:t>
      </w:r>
      <w:r w:rsidR="0042539D">
        <w:t xml:space="preserve">en </w:t>
      </w:r>
      <w:r>
        <w:t>standard</w:t>
      </w:r>
      <w:r w:rsidR="001A106C">
        <w:t xml:space="preserve"> </w:t>
      </w:r>
      <w:r>
        <w:t>koppla</w:t>
      </w:r>
      <w:r w:rsidR="003A6143">
        <w:t>d</w:t>
      </w:r>
      <w:r>
        <w:t xml:space="preserve"> till andra unionsrättsakter</w:t>
      </w:r>
      <w:r w:rsidR="007829AF">
        <w:t xml:space="preserve"> </w:t>
      </w:r>
      <w:r w:rsidR="00DD6102">
        <w:t>sk</w:t>
      </w:r>
      <w:r w:rsidR="00AE63E3">
        <w:t>a</w:t>
      </w:r>
      <w:r w:rsidR="00DD6102">
        <w:t xml:space="preserve"> </w:t>
      </w:r>
      <w:r>
        <w:t xml:space="preserve">stå över krav på begriplighet i </w:t>
      </w:r>
      <w:r w:rsidR="001A106C">
        <w:t xml:space="preserve">ett </w:t>
      </w:r>
      <w:r>
        <w:t>direktiv</w:t>
      </w:r>
      <w:r w:rsidR="007829AF">
        <w:t xml:space="preserve"> </w:t>
      </w:r>
      <w:r w:rsidR="00295A29">
        <w:t xml:space="preserve">är </w:t>
      </w:r>
      <w:r w:rsidR="007829AF">
        <w:t xml:space="preserve">inte </w:t>
      </w:r>
      <w:r w:rsidR="00295A29">
        <w:t>en fråga för en nationell utredning</w:t>
      </w:r>
      <w:r w:rsidR="00EE3E89">
        <w:t xml:space="preserve">. Samma regler ska gälla på </w:t>
      </w:r>
      <w:r w:rsidR="00036FA3">
        <w:t>den inre marknaden</w:t>
      </w:r>
      <w:r w:rsidR="00FC21BC">
        <w:t xml:space="preserve"> (se även avsnitt om harmoniserade standarder</w:t>
      </w:r>
      <w:r w:rsidR="00036FA3">
        <w:t>)</w:t>
      </w:r>
      <w:r w:rsidR="00FC21BC">
        <w:t>.</w:t>
      </w:r>
    </w:p>
    <w:p w14:paraId="164FC539" w14:textId="77777777" w:rsidR="003A2148" w:rsidRDefault="003A2148" w:rsidP="00390BCB"/>
    <w:p w14:paraId="3C8EE2E6" w14:textId="2F1F02A5" w:rsidR="009A0551" w:rsidRDefault="009A0551" w:rsidP="009A0551">
      <w:pPr>
        <w:pStyle w:val="Rubrik3"/>
      </w:pPr>
      <w:r>
        <w:t>Artikel 24.2 om andra unionsakter ska införas i svensk författning</w:t>
      </w:r>
    </w:p>
    <w:p w14:paraId="5A2372D4" w14:textId="65C74ABB" w:rsidR="00327A63" w:rsidRDefault="00DE2A8B" w:rsidP="00327A63">
      <w:r>
        <w:rPr>
          <w:b/>
          <w:bCs/>
        </w:rPr>
        <w:t xml:space="preserve">Funktionsrätt Sverige </w:t>
      </w:r>
      <w:r w:rsidR="00D45433" w:rsidRPr="0091442B">
        <w:rPr>
          <w:b/>
          <w:bCs/>
        </w:rPr>
        <w:t xml:space="preserve">avstyrker kraftfullt utredningens tolkning </w:t>
      </w:r>
      <w:r w:rsidR="007D3CCE">
        <w:rPr>
          <w:b/>
          <w:bCs/>
        </w:rPr>
        <w:t xml:space="preserve">(11.7) </w:t>
      </w:r>
      <w:r w:rsidR="00D45433" w:rsidRPr="0091442B">
        <w:rPr>
          <w:b/>
          <w:bCs/>
        </w:rPr>
        <w:t xml:space="preserve">av </w:t>
      </w:r>
      <w:r w:rsidR="007D3CCE">
        <w:rPr>
          <w:b/>
          <w:bCs/>
        </w:rPr>
        <w:t xml:space="preserve">direktivets </w:t>
      </w:r>
      <w:r w:rsidR="00D45433" w:rsidRPr="0091442B">
        <w:rPr>
          <w:b/>
          <w:bCs/>
        </w:rPr>
        <w:t>artikel 24.2</w:t>
      </w:r>
      <w:r w:rsidR="00E5252E">
        <w:rPr>
          <w:b/>
          <w:bCs/>
        </w:rPr>
        <w:t>. U</w:t>
      </w:r>
      <w:r w:rsidR="00860817">
        <w:rPr>
          <w:b/>
          <w:bCs/>
        </w:rPr>
        <w:t>tredningen</w:t>
      </w:r>
      <w:r w:rsidR="000405E4">
        <w:rPr>
          <w:b/>
          <w:bCs/>
        </w:rPr>
        <w:t xml:space="preserve"> tycks </w:t>
      </w:r>
      <w:r w:rsidR="006F2036">
        <w:rPr>
          <w:b/>
          <w:bCs/>
        </w:rPr>
        <w:t>mena att</w:t>
      </w:r>
      <w:r w:rsidR="000405E4">
        <w:rPr>
          <w:b/>
          <w:bCs/>
        </w:rPr>
        <w:t xml:space="preserve"> </w:t>
      </w:r>
      <w:r w:rsidR="00B424EA" w:rsidRPr="0091442B">
        <w:rPr>
          <w:b/>
          <w:bCs/>
        </w:rPr>
        <w:t>EU</w:t>
      </w:r>
      <w:r w:rsidR="00E5252E">
        <w:rPr>
          <w:b/>
          <w:bCs/>
        </w:rPr>
        <w:t>,</w:t>
      </w:r>
      <w:r w:rsidR="005B3D5A">
        <w:rPr>
          <w:b/>
          <w:bCs/>
        </w:rPr>
        <w:t xml:space="preserve"> </w:t>
      </w:r>
      <w:r w:rsidR="00783336">
        <w:rPr>
          <w:b/>
          <w:bCs/>
        </w:rPr>
        <w:t>i ett demokratiskt fattat</w:t>
      </w:r>
      <w:r w:rsidR="00B424EA" w:rsidRPr="0091442B">
        <w:rPr>
          <w:b/>
          <w:bCs/>
        </w:rPr>
        <w:t xml:space="preserve"> beslut </w:t>
      </w:r>
      <w:r w:rsidR="005B3D5A">
        <w:rPr>
          <w:b/>
          <w:bCs/>
        </w:rPr>
        <w:t>med alla kvalitetsgranskningar</w:t>
      </w:r>
      <w:r w:rsidR="00E5252E">
        <w:rPr>
          <w:b/>
          <w:bCs/>
        </w:rPr>
        <w:t>,</w:t>
      </w:r>
      <w:r w:rsidR="005B3D5A">
        <w:rPr>
          <w:b/>
          <w:bCs/>
        </w:rPr>
        <w:t xml:space="preserve"> </w:t>
      </w:r>
      <w:r w:rsidR="00783336">
        <w:rPr>
          <w:b/>
          <w:bCs/>
        </w:rPr>
        <w:t>har begått ett formellt fel</w:t>
      </w:r>
      <w:r w:rsidR="006F2036">
        <w:rPr>
          <w:b/>
          <w:bCs/>
        </w:rPr>
        <w:t>.</w:t>
      </w:r>
      <w:r w:rsidR="007D3CCE">
        <w:rPr>
          <w:b/>
          <w:bCs/>
        </w:rPr>
        <w:t xml:space="preserve"> </w:t>
      </w:r>
      <w:r w:rsidR="00327A63">
        <w:t xml:space="preserve">Om utredningens argument </w:t>
      </w:r>
      <w:r w:rsidR="00484403">
        <w:t>v</w:t>
      </w:r>
      <w:r w:rsidR="0017706B">
        <w:t>ore</w:t>
      </w:r>
      <w:r w:rsidR="00484403">
        <w:t xml:space="preserve"> hållbara</w:t>
      </w:r>
      <w:r w:rsidR="00C70CFB">
        <w:t>,</w:t>
      </w:r>
      <w:r w:rsidR="00327A63">
        <w:t xml:space="preserve"> så </w:t>
      </w:r>
      <w:r w:rsidR="00256A84">
        <w:t>skulle</w:t>
      </w:r>
      <w:r w:rsidR="00327A63">
        <w:t xml:space="preserve"> </w:t>
      </w:r>
      <w:r w:rsidR="00484403">
        <w:t xml:space="preserve">Sverige ha agerat tidigare. </w:t>
      </w:r>
      <w:r w:rsidR="00256A84">
        <w:t>D</w:t>
      </w:r>
      <w:r w:rsidR="00C70CFB">
        <w:t xml:space="preserve">irektivet är antaget av EU, och </w:t>
      </w:r>
      <w:r w:rsidR="0006338C">
        <w:t xml:space="preserve">utredningens </w:t>
      </w:r>
      <w:r w:rsidR="00C70CFB">
        <w:t>uppdrag är att genomf</w:t>
      </w:r>
      <w:r w:rsidR="0006338C">
        <w:t xml:space="preserve">öra det i nationell lagstiftning. </w:t>
      </w:r>
    </w:p>
    <w:p w14:paraId="634763A5" w14:textId="44C6AAC6" w:rsidR="0006338C" w:rsidRDefault="0006338C" w:rsidP="00327A63"/>
    <w:p w14:paraId="377FDBF9" w14:textId="12F8BA55" w:rsidR="00441C09" w:rsidRDefault="007D0955" w:rsidP="00DD6102">
      <w:r>
        <w:t>Tillgänglighetsdirektivet</w:t>
      </w:r>
      <w:r w:rsidR="003B7767">
        <w:t xml:space="preserve"> är horisontellt, tvärsektoriellt</w:t>
      </w:r>
      <w:r w:rsidR="00870885">
        <w:t>,</w:t>
      </w:r>
      <w:r w:rsidR="003B7767">
        <w:t xml:space="preserve"> </w:t>
      </w:r>
      <w:r>
        <w:t>men s</w:t>
      </w:r>
      <w:r w:rsidR="00532CD4">
        <w:t xml:space="preserve">ekretariatet </w:t>
      </w:r>
      <w:r w:rsidR="00596EE8">
        <w:t>verkade</w:t>
      </w:r>
      <w:r w:rsidR="00532CD4">
        <w:t xml:space="preserve"> tidigt </w:t>
      </w:r>
      <w:r w:rsidR="009130AB">
        <w:t>i sin process,</w:t>
      </w:r>
      <w:r w:rsidR="00532CD4">
        <w:t xml:space="preserve"> </w:t>
      </w:r>
      <w:r w:rsidR="00DE1347">
        <w:t>ha</w:t>
      </w:r>
      <w:r w:rsidR="009130AB">
        <w:t xml:space="preserve"> </w:t>
      </w:r>
      <w:r w:rsidR="00532CD4">
        <w:t xml:space="preserve">fastnat i att detta skulle vara ett </w:t>
      </w:r>
      <w:r w:rsidR="00596EE8">
        <w:t xml:space="preserve">begränsat </w:t>
      </w:r>
      <w:r w:rsidR="00DD6102">
        <w:t>fullharmon</w:t>
      </w:r>
      <w:r w:rsidR="007A1138">
        <w:t>i</w:t>
      </w:r>
      <w:r w:rsidR="00DD6102">
        <w:t>seringsdirektiv som</w:t>
      </w:r>
      <w:r w:rsidR="00596EE8">
        <w:t xml:space="preserve"> </w:t>
      </w:r>
      <w:r w:rsidR="006C6235">
        <w:t xml:space="preserve">om det </w:t>
      </w:r>
      <w:r w:rsidR="007A1138">
        <w:t>skulle gälla</w:t>
      </w:r>
      <w:r w:rsidR="00DD6102">
        <w:t xml:space="preserve"> en begränsad sektor. </w:t>
      </w:r>
      <w:r w:rsidR="00182482">
        <w:t xml:space="preserve">Utredningen verkar </w:t>
      </w:r>
      <w:r w:rsidR="00E66B7E">
        <w:t xml:space="preserve">inte heller ta hänsyn till artikel 4 i Funktionsrättskonventionen om skyldigheten att ändra lagar </w:t>
      </w:r>
      <w:r w:rsidR="00484403">
        <w:t>inte bara vi</w:t>
      </w:r>
      <w:r w:rsidR="00873928">
        <w:t>d</w:t>
      </w:r>
      <w:r w:rsidR="00484403">
        <w:t xml:space="preserve"> ratificeringen utan </w:t>
      </w:r>
      <w:r w:rsidR="00E66B7E">
        <w:t>även framtida lagar och bestämmelser. När nya lagar tas fram inom EU måste de överen</w:t>
      </w:r>
      <w:r w:rsidR="00FA7F3D">
        <w:t>s</w:t>
      </w:r>
      <w:r w:rsidR="00E66B7E">
        <w:t xml:space="preserve">stämma med </w:t>
      </w:r>
      <w:r w:rsidR="00FA7F3D">
        <w:t>konventionen (inom EU:s kompetens). Motsvarande gäller förstås även Sverige, där det brukar kallas transformering</w:t>
      </w:r>
      <w:r w:rsidR="00542C01">
        <w:t xml:space="preserve">, men </w:t>
      </w:r>
      <w:r w:rsidR="00484403">
        <w:t xml:space="preserve">där utredningen är ett exempel på att </w:t>
      </w:r>
      <w:r w:rsidR="00542C01">
        <w:t xml:space="preserve">det </w:t>
      </w:r>
      <w:r w:rsidR="00484403">
        <w:t xml:space="preserve">inte </w:t>
      </w:r>
      <w:r w:rsidR="00542C01">
        <w:t>genomförs systematiskt.</w:t>
      </w:r>
    </w:p>
    <w:p w14:paraId="4BE4672D" w14:textId="77777777" w:rsidR="00441C09" w:rsidRDefault="00441C09" w:rsidP="00DD6102"/>
    <w:p w14:paraId="3D1A10A3" w14:textId="31DD69AE" w:rsidR="002755BC" w:rsidRPr="00D506DA" w:rsidRDefault="009B6674" w:rsidP="00DD6102">
      <w:r>
        <w:t>Ett tecken på</w:t>
      </w:r>
      <w:r w:rsidR="00441C09">
        <w:t xml:space="preserve"> att sekretariatet har missuppfattat direktivet </w:t>
      </w:r>
      <w:r>
        <w:t>är att h</w:t>
      </w:r>
      <w:r w:rsidR="007A1138">
        <w:t>änvisningar till den europeiska tillgänglighetslagen förs in i flera unionsakter</w:t>
      </w:r>
      <w:r w:rsidR="00045AC9">
        <w:t xml:space="preserve">. Formuleringen, </w:t>
      </w:r>
      <w:r w:rsidR="00045AC9">
        <w:rPr>
          <w:color w:val="444444"/>
          <w:shd w:val="clear" w:color="auto" w:fill="FFFFFF"/>
        </w:rPr>
        <w:t>”</w:t>
      </w:r>
      <w:r w:rsidR="00574E26" w:rsidRPr="00045AC9">
        <w:t xml:space="preserve">in </w:t>
      </w:r>
      <w:proofErr w:type="spellStart"/>
      <w:r w:rsidR="00574E26" w:rsidRPr="00045AC9">
        <w:t>accordance</w:t>
      </w:r>
      <w:proofErr w:type="spellEnd"/>
      <w:r w:rsidR="00574E26" w:rsidRPr="00045AC9">
        <w:t xml:space="preserve"> </w:t>
      </w:r>
      <w:proofErr w:type="spellStart"/>
      <w:r w:rsidR="00574E26" w:rsidRPr="00045AC9">
        <w:t>with</w:t>
      </w:r>
      <w:proofErr w:type="spellEnd"/>
      <w:r w:rsidR="00574E26" w:rsidRPr="00045AC9">
        <w:t xml:space="preserve"> Union </w:t>
      </w:r>
      <w:proofErr w:type="spellStart"/>
      <w:r w:rsidR="00574E26" w:rsidRPr="00045AC9">
        <w:t>law</w:t>
      </w:r>
      <w:proofErr w:type="spellEnd"/>
      <w:r w:rsidR="00574E26" w:rsidRPr="00045AC9">
        <w:t xml:space="preserve"> </w:t>
      </w:r>
      <w:proofErr w:type="spellStart"/>
      <w:r w:rsidR="00574E26" w:rsidRPr="00045AC9">
        <w:t>harmonising</w:t>
      </w:r>
      <w:proofErr w:type="spellEnd"/>
      <w:r w:rsidR="00574E26" w:rsidRPr="00045AC9">
        <w:t xml:space="preserve"> </w:t>
      </w:r>
      <w:proofErr w:type="spellStart"/>
      <w:r w:rsidR="00574E26" w:rsidRPr="00045AC9">
        <w:t>accessibility</w:t>
      </w:r>
      <w:proofErr w:type="spellEnd"/>
      <w:r w:rsidR="00574E26" w:rsidRPr="00045AC9">
        <w:t xml:space="preserve"> </w:t>
      </w:r>
      <w:proofErr w:type="spellStart"/>
      <w:r w:rsidR="00574E26" w:rsidRPr="00045AC9">
        <w:t>requirements</w:t>
      </w:r>
      <w:proofErr w:type="spellEnd"/>
      <w:r w:rsidR="00574E26" w:rsidRPr="00045AC9">
        <w:t xml:space="preserve"> for </w:t>
      </w:r>
      <w:proofErr w:type="spellStart"/>
      <w:r w:rsidR="00574E26" w:rsidRPr="00045AC9">
        <w:t>products</w:t>
      </w:r>
      <w:proofErr w:type="spellEnd"/>
      <w:r w:rsidR="00574E26" w:rsidRPr="00045AC9">
        <w:t xml:space="preserve"> </w:t>
      </w:r>
      <w:proofErr w:type="gramStart"/>
      <w:r w:rsidR="00574E26" w:rsidRPr="00045AC9">
        <w:t>and services</w:t>
      </w:r>
      <w:proofErr w:type="gramEnd"/>
      <w:r w:rsidR="00574E26" w:rsidRPr="00045AC9">
        <w:t>”</w:t>
      </w:r>
      <w:r w:rsidR="00045AC9">
        <w:t xml:space="preserve">, </w:t>
      </w:r>
      <w:r w:rsidR="00045AC9">
        <w:lastRenderedPageBreak/>
        <w:t>används i den europeiska kodexen för elektroniska kommunikationer</w:t>
      </w:r>
      <w:r w:rsidR="00045AC9">
        <w:rPr>
          <w:rStyle w:val="Fotnotsreferens"/>
        </w:rPr>
        <w:footnoteReference w:id="4"/>
      </w:r>
      <w:r w:rsidR="00D506DA">
        <w:rPr>
          <w:color w:val="444444"/>
          <w:sz w:val="27"/>
          <w:szCs w:val="27"/>
          <w:shd w:val="clear" w:color="auto" w:fill="FFFFFF"/>
        </w:rPr>
        <w:t xml:space="preserve"> </w:t>
      </w:r>
      <w:r w:rsidR="00D506DA" w:rsidRPr="00D506DA">
        <w:t>och det finns</w:t>
      </w:r>
      <w:r w:rsidR="00D506DA">
        <w:t xml:space="preserve"> förstås</w:t>
      </w:r>
      <w:r w:rsidR="00D506DA" w:rsidRPr="00D506DA">
        <w:t xml:space="preserve"> referenser i upphandlingsdirektiven</w:t>
      </w:r>
      <w:r w:rsidR="00D506DA">
        <w:rPr>
          <w:rStyle w:val="Fotnotsreferens"/>
        </w:rPr>
        <w:footnoteReference w:id="5"/>
      </w:r>
      <w:r w:rsidR="00D506DA" w:rsidRPr="00D506DA">
        <w:t xml:space="preserve">. </w:t>
      </w:r>
    </w:p>
    <w:p w14:paraId="7B7ED6C5" w14:textId="5E623736" w:rsidR="009B6674" w:rsidRDefault="006C6235" w:rsidP="00DD6102">
      <w:r w:rsidRPr="00D43328">
        <w:t xml:space="preserve">Det finns </w:t>
      </w:r>
      <w:r w:rsidR="001B6322" w:rsidRPr="00D43328">
        <w:t xml:space="preserve">liknande formuleringar </w:t>
      </w:r>
      <w:r w:rsidR="00FA4990">
        <w:t xml:space="preserve">i </w:t>
      </w:r>
      <w:r w:rsidR="00427AEE">
        <w:t>förordning</w:t>
      </w:r>
      <w:r w:rsidR="00FA4990">
        <w:t>ar</w:t>
      </w:r>
      <w:r w:rsidR="00427AEE">
        <w:t xml:space="preserve"> om EU:s strukturfonder</w:t>
      </w:r>
      <w:r w:rsidR="00B43B5C">
        <w:rPr>
          <w:rStyle w:val="Fotnotsreferens"/>
        </w:rPr>
        <w:footnoteReference w:id="6"/>
      </w:r>
      <w:r w:rsidR="001B6322">
        <w:t xml:space="preserve"> som rör </w:t>
      </w:r>
      <w:r w:rsidR="00F90881">
        <w:t>Europeiska Socialfonden och Regionalfonden</w:t>
      </w:r>
      <w:r w:rsidR="006F3613">
        <w:t>.</w:t>
      </w:r>
      <w:r w:rsidR="00484403">
        <w:t xml:space="preserve"> </w:t>
      </w:r>
    </w:p>
    <w:p w14:paraId="48823ECC" w14:textId="77777777" w:rsidR="00DD6102" w:rsidRDefault="00DD6102" w:rsidP="00DD6102"/>
    <w:p w14:paraId="6B190213" w14:textId="64374EB3" w:rsidR="0096043C" w:rsidRPr="005C393B" w:rsidRDefault="005C393B" w:rsidP="00BD7462">
      <w:r>
        <w:t xml:space="preserve">Om </w:t>
      </w:r>
      <w:r w:rsidR="00AC3344">
        <w:t>regering och riksdag beslutar att</w:t>
      </w:r>
      <w:r>
        <w:t xml:space="preserve"> inte införa en bestämmelse i svensk författning</w:t>
      </w:r>
      <w:r w:rsidR="00AC3344">
        <w:t xml:space="preserve"> som motsvarar artikel 24</w:t>
      </w:r>
      <w:r w:rsidR="0053602E">
        <w:t>,</w:t>
      </w:r>
      <w:r>
        <w:t xml:space="preserve"> har vi inte genomfört direktivet fullt ut</w:t>
      </w:r>
      <w:r w:rsidR="00923852">
        <w:t>. I</w:t>
      </w:r>
      <w:r w:rsidR="00A75C9D">
        <w:t xml:space="preserve"> praktiken riskerar det svenska</w:t>
      </w:r>
      <w:r>
        <w:t xml:space="preserve"> </w:t>
      </w:r>
      <w:r w:rsidR="00A75C9D">
        <w:t>näringslivet att fortsätta halka efter</w:t>
      </w:r>
      <w:r w:rsidR="00B42DAB">
        <w:t xml:space="preserve"> andra länder när det gäller att </w:t>
      </w:r>
      <w:r w:rsidR="0053602E">
        <w:t>veta hur de</w:t>
      </w:r>
      <w:r w:rsidR="00045316">
        <w:t>t är möjligt att visa på överensstämmelse med</w:t>
      </w:r>
      <w:r w:rsidR="00B42DAB">
        <w:t xml:space="preserve"> krav på tillgänglighet.</w:t>
      </w:r>
      <w:r w:rsidR="00484403">
        <w:t xml:space="preserve"> </w:t>
      </w:r>
      <w:r w:rsidR="00526A95">
        <w:t>Vi bevakar frågan och r</w:t>
      </w:r>
      <w:r w:rsidR="00484403">
        <w:t>egeringen riskerar ett överträdelseförfarande</w:t>
      </w:r>
      <w:r w:rsidR="00526A95">
        <w:t xml:space="preserve"> om inte artikel 24 med flera bestämmelser genomförs.</w:t>
      </w:r>
      <w:r w:rsidR="00526A95">
        <w:rPr>
          <w:rStyle w:val="Fotnotsreferens"/>
        </w:rPr>
        <w:footnoteReference w:id="7"/>
      </w:r>
    </w:p>
    <w:p w14:paraId="02BDC846" w14:textId="77777777" w:rsidR="000C4EF8" w:rsidRDefault="000C4EF8" w:rsidP="006D09BB">
      <w:pPr>
        <w:pStyle w:val="Rubrik2"/>
      </w:pPr>
    </w:p>
    <w:p w14:paraId="09FCE51E" w14:textId="3B3F3414" w:rsidR="006D09BB" w:rsidRDefault="006D09BB" w:rsidP="0032185C">
      <w:pPr>
        <w:pStyle w:val="Rubrik3"/>
      </w:pPr>
      <w:r>
        <w:t>12 Harmoniserade standarder</w:t>
      </w:r>
    </w:p>
    <w:p w14:paraId="4092C3F4" w14:textId="076E0CD0" w:rsidR="00184C36" w:rsidRDefault="000C4EF8" w:rsidP="006D09BB">
      <w:r w:rsidRPr="00184C36">
        <w:rPr>
          <w:b/>
          <w:bCs/>
        </w:rPr>
        <w:t xml:space="preserve">Funktionsrätt Sverige </w:t>
      </w:r>
      <w:r w:rsidR="002E4594">
        <w:rPr>
          <w:b/>
          <w:bCs/>
        </w:rPr>
        <w:t xml:space="preserve">anser att </w:t>
      </w:r>
      <w:r w:rsidR="003B66AF">
        <w:rPr>
          <w:b/>
          <w:bCs/>
        </w:rPr>
        <w:t xml:space="preserve">den svenska </w:t>
      </w:r>
      <w:r w:rsidR="002E4594">
        <w:rPr>
          <w:b/>
          <w:bCs/>
        </w:rPr>
        <w:t xml:space="preserve">lagen </w:t>
      </w:r>
      <w:r w:rsidR="008E6D21">
        <w:rPr>
          <w:b/>
          <w:bCs/>
        </w:rPr>
        <w:t>måste vara tydlig när det gäller artikel 15</w:t>
      </w:r>
      <w:r w:rsidR="005E30EF">
        <w:rPr>
          <w:b/>
          <w:bCs/>
        </w:rPr>
        <w:t xml:space="preserve"> och 25</w:t>
      </w:r>
      <w:r w:rsidR="008E6D21">
        <w:rPr>
          <w:b/>
          <w:bCs/>
        </w:rPr>
        <w:t xml:space="preserve"> i </w:t>
      </w:r>
      <w:r w:rsidR="003B66AF">
        <w:rPr>
          <w:b/>
          <w:bCs/>
        </w:rPr>
        <w:t xml:space="preserve">direktivet. </w:t>
      </w:r>
      <w:r w:rsidR="007901B8">
        <w:t>U</w:t>
      </w:r>
      <w:r w:rsidR="006C3097">
        <w:t xml:space="preserve">tredningen </w:t>
      </w:r>
      <w:r w:rsidR="007901B8">
        <w:t xml:space="preserve">har fått </w:t>
      </w:r>
      <w:r w:rsidR="006C3097">
        <w:t xml:space="preserve">texter från </w:t>
      </w:r>
      <w:r w:rsidR="007901B8">
        <w:t xml:space="preserve">oberoende </w:t>
      </w:r>
      <w:r w:rsidR="006C3097">
        <w:t>experter på standardisering</w:t>
      </w:r>
      <w:r w:rsidR="00E94FC4">
        <w:t>, men valt annan text</w:t>
      </w:r>
      <w:r w:rsidR="00E242D5">
        <w:t xml:space="preserve"> som nästan enbart handlar om en befintlig standard – EN 301549</w:t>
      </w:r>
      <w:r w:rsidR="0090562E">
        <w:t xml:space="preserve">. Det hade underlättat att förstå </w:t>
      </w:r>
      <w:r w:rsidR="006C6D5C">
        <w:t>harmoniserade</w:t>
      </w:r>
      <w:r w:rsidR="004A732B">
        <w:t xml:space="preserve"> standarde</w:t>
      </w:r>
      <w:r w:rsidR="00184C36">
        <w:t>r</w:t>
      </w:r>
      <w:r w:rsidR="003A10A7">
        <w:rPr>
          <w:rStyle w:val="Fotnotsreferens"/>
        </w:rPr>
        <w:footnoteReference w:id="8"/>
      </w:r>
      <w:r w:rsidR="003A10A7">
        <w:t xml:space="preserve"> och hur de används. Men </w:t>
      </w:r>
      <w:r w:rsidR="00253D97">
        <w:t>det saknas även beskrivning av</w:t>
      </w:r>
      <w:r w:rsidR="00916711">
        <w:t xml:space="preserve"> </w:t>
      </w:r>
      <w:r w:rsidR="004A732B">
        <w:t xml:space="preserve">de standarder </w:t>
      </w:r>
      <w:r w:rsidR="00184C36">
        <w:t xml:space="preserve">för tillgänglighet </w:t>
      </w:r>
      <w:r w:rsidR="004A732B">
        <w:t>som EU-kommissionen</w:t>
      </w:r>
      <w:r w:rsidR="00800032">
        <w:t xml:space="preserve"> redan ”beställt”</w:t>
      </w:r>
      <w:r w:rsidR="00253D97">
        <w:t xml:space="preserve"> och kunskap om hur fler kan delta i standardiseringsarbetet.</w:t>
      </w:r>
      <w:r w:rsidR="00833EA4">
        <w:t xml:space="preserve"> </w:t>
      </w:r>
    </w:p>
    <w:p w14:paraId="59F2D505" w14:textId="77777777" w:rsidR="00184C36" w:rsidRDefault="00184C36" w:rsidP="006D09BB"/>
    <w:p w14:paraId="1E55B8D5" w14:textId="01D9DF17" w:rsidR="00B3296E" w:rsidRDefault="00B3296E" w:rsidP="006D09BB">
      <w:r>
        <w:t xml:space="preserve">Företag har länge varit engagerade i internationella standarder för tillgänglighet för att slippa kostnader för att anpassa </w:t>
      </w:r>
      <w:r w:rsidR="00876586">
        <w:t xml:space="preserve">sina </w:t>
      </w:r>
      <w:r>
        <w:t xml:space="preserve">produkter och tjänster till olika regelverk. </w:t>
      </w:r>
      <w:r w:rsidR="00184C36">
        <w:t>Alla 182 stater som antagit konventionen om rättigheter för personer med funktionsnedsättning har åtagit sig att ta fram</w:t>
      </w:r>
      <w:r>
        <w:t xml:space="preserve"> lagstiftning och</w:t>
      </w:r>
      <w:r w:rsidR="00184C36">
        <w:t xml:space="preserve"> standarder</w:t>
      </w:r>
      <w:r>
        <w:t xml:space="preserve"> för tillgänglighet</w:t>
      </w:r>
      <w:r w:rsidR="00506707">
        <w:t>.</w:t>
      </w:r>
    </w:p>
    <w:p w14:paraId="23478C10" w14:textId="77777777" w:rsidR="001C13AE" w:rsidRDefault="001C13AE" w:rsidP="006D09BB"/>
    <w:p w14:paraId="366840F0" w14:textId="7259D692" w:rsidR="004C2B01" w:rsidRDefault="00184C36" w:rsidP="00A602C3">
      <w:r>
        <w:t xml:space="preserve">Efter att betänkandet publicerades har EU-kommissionen </w:t>
      </w:r>
      <w:r w:rsidR="00833EA4">
        <w:t>presenterat förslag till standardiseringsbegäran som</w:t>
      </w:r>
      <w:r w:rsidR="001C13AE">
        <w:t xml:space="preserve"> diskuteras brett bland olika intressenter</w:t>
      </w:r>
      <w:r w:rsidR="000512A7">
        <w:rPr>
          <w:rStyle w:val="Fotnotsreferens"/>
        </w:rPr>
        <w:footnoteReference w:id="9"/>
      </w:r>
      <w:r w:rsidR="001C13AE">
        <w:t xml:space="preserve">. </w:t>
      </w:r>
      <w:r w:rsidR="001C06DC">
        <w:t xml:space="preserve">Förslaget omfattar revidering </w:t>
      </w:r>
      <w:r w:rsidR="00064982">
        <w:t xml:space="preserve">och harmonisering, </w:t>
      </w:r>
      <w:r w:rsidR="00F425EF">
        <w:t xml:space="preserve">inte bara av EN301549 utan även </w:t>
      </w:r>
      <w:r w:rsidR="00B04B50">
        <w:t xml:space="preserve">av </w:t>
      </w:r>
      <w:r w:rsidR="00F425EF">
        <w:t>de andra två</w:t>
      </w:r>
      <w:r w:rsidR="001C06DC">
        <w:t xml:space="preserve"> tillgänglighetsstandarder som redan tagits fram på uppdrag av EU-kommissionen för användning</w:t>
      </w:r>
      <w:r w:rsidR="001C6460">
        <w:t xml:space="preserve"> kopplat till exempelvis upphandlingsdirektivet</w:t>
      </w:r>
      <w:r w:rsidR="00F425EF">
        <w:t>.</w:t>
      </w:r>
      <w:r w:rsidR="00CD3492">
        <w:t xml:space="preserve"> Det finns en</w:t>
      </w:r>
      <w:r w:rsidR="00F425EF">
        <w:t xml:space="preserve"> processtandard</w:t>
      </w:r>
      <w:r w:rsidR="007B40C7">
        <w:t>;</w:t>
      </w:r>
      <w:r w:rsidR="00F425EF">
        <w:t xml:space="preserve"> </w:t>
      </w:r>
      <w:r w:rsidR="004C2B01">
        <w:t>Tillgänglighet genom universell utformning</w:t>
      </w:r>
      <w:r w:rsidR="004E05B4">
        <w:t xml:space="preserve"> EN17161 </w:t>
      </w:r>
      <w:r w:rsidR="002E1D6D">
        <w:t xml:space="preserve">kan användas </w:t>
      </w:r>
      <w:r w:rsidR="007D4FD1">
        <w:t>för flera unionsakter</w:t>
      </w:r>
      <w:r w:rsidR="007B40C7">
        <w:t>,</w:t>
      </w:r>
      <w:r w:rsidR="00DC4C8E">
        <w:t xml:space="preserve"> </w:t>
      </w:r>
      <w:r w:rsidR="00CD3492">
        <w:t>samt</w:t>
      </w:r>
      <w:r w:rsidR="004E05B4">
        <w:t xml:space="preserve"> </w:t>
      </w:r>
      <w:r w:rsidR="004C2B01">
        <w:t xml:space="preserve">en standard för tillgänglighet och användbarhet i byggd miljö </w:t>
      </w:r>
      <w:r w:rsidR="004E05B4">
        <w:t>EN17210</w:t>
      </w:r>
      <w:r w:rsidR="001C6460">
        <w:t>. De</w:t>
      </w:r>
      <w:r w:rsidR="004C2B01">
        <w:t xml:space="preserve">ssutom föreslår EU-kommissionen </w:t>
      </w:r>
      <w:r w:rsidR="001C6460">
        <w:t xml:space="preserve">tre nya </w:t>
      </w:r>
      <w:r w:rsidR="00A602C3">
        <w:t xml:space="preserve">harmoniserade </w:t>
      </w:r>
      <w:r w:rsidR="001C6460">
        <w:t xml:space="preserve">standarder </w:t>
      </w:r>
      <w:r w:rsidR="004C2B01">
        <w:t>för</w:t>
      </w:r>
    </w:p>
    <w:p w14:paraId="4BB179DF" w14:textId="53DF3E5C" w:rsidR="00A602C3" w:rsidRPr="00A602C3" w:rsidRDefault="00A602C3" w:rsidP="004C2B01">
      <w:pPr>
        <w:pStyle w:val="Liststycke"/>
        <w:numPr>
          <w:ilvl w:val="0"/>
          <w:numId w:val="20"/>
        </w:numPr>
      </w:pPr>
      <w:r w:rsidRPr="00A602C3">
        <w:t>Krav på information om produkter som inte är digital</w:t>
      </w:r>
    </w:p>
    <w:p w14:paraId="729D35BA" w14:textId="048C7FFE" w:rsidR="00A602C3" w:rsidRPr="00A602C3" w:rsidRDefault="00A602C3" w:rsidP="00A602C3">
      <w:pPr>
        <w:numPr>
          <w:ilvl w:val="0"/>
          <w:numId w:val="20"/>
        </w:numPr>
      </w:pPr>
      <w:r w:rsidRPr="00A602C3">
        <w:t xml:space="preserve">Supporttjänster (helpdesk, telefonsupport </w:t>
      </w:r>
      <w:proofErr w:type="spellStart"/>
      <w:r w:rsidRPr="00A602C3">
        <w:t>m.m</w:t>
      </w:r>
      <w:proofErr w:type="spellEnd"/>
      <w:r w:rsidR="004C2B01">
        <w:t>)</w:t>
      </w:r>
      <w:r w:rsidRPr="00A602C3">
        <w:t>.</w:t>
      </w:r>
    </w:p>
    <w:p w14:paraId="142318FC" w14:textId="207B8BCE" w:rsidR="00A602C3" w:rsidRPr="00A602C3" w:rsidRDefault="00A602C3" w:rsidP="00A602C3">
      <w:pPr>
        <w:numPr>
          <w:ilvl w:val="0"/>
          <w:numId w:val="20"/>
        </w:numPr>
      </w:pPr>
      <w:r w:rsidRPr="00A602C3">
        <w:t>Nödnum</w:t>
      </w:r>
      <w:r w:rsidR="00E2178C">
        <w:t>mer och svar på det</w:t>
      </w:r>
      <w:r w:rsidRPr="00A602C3">
        <w:t xml:space="preserve">. </w:t>
      </w:r>
    </w:p>
    <w:p w14:paraId="54AB8678" w14:textId="77777777" w:rsidR="00E2178C" w:rsidRDefault="00E2178C" w:rsidP="006D09BB"/>
    <w:p w14:paraId="79A2529C" w14:textId="42EB3875" w:rsidR="00166607" w:rsidRDefault="001C6276" w:rsidP="006D09BB">
      <w:r>
        <w:t>D</w:t>
      </w:r>
      <w:r w:rsidR="002126BF">
        <w:t xml:space="preserve">et är </w:t>
      </w:r>
      <w:r w:rsidR="00E2178C">
        <w:t>endast</w:t>
      </w:r>
      <w:r w:rsidR="00942CC6">
        <w:t xml:space="preserve"> E</w:t>
      </w:r>
      <w:r w:rsidR="00136267">
        <w:t xml:space="preserve">N 301549 och delvis den </w:t>
      </w:r>
      <w:r w:rsidR="00942CC6">
        <w:t xml:space="preserve">nya standard </w:t>
      </w:r>
      <w:r w:rsidR="00136267">
        <w:t>som rör nödkommunikation</w:t>
      </w:r>
      <w:r w:rsidR="00942CC6">
        <w:t xml:space="preserve"> som rör digital tillgänglighet. </w:t>
      </w:r>
      <w:r w:rsidR="00DA0888">
        <w:t xml:space="preserve">De övriga </w:t>
      </w:r>
      <w:r w:rsidR="00942CC6">
        <w:t xml:space="preserve">rör </w:t>
      </w:r>
      <w:r w:rsidR="00E61C87">
        <w:t>tillgänglighet utöver det digitala</w:t>
      </w:r>
      <w:r w:rsidR="00B6799A">
        <w:t xml:space="preserve">, vilket stärker vårt </w:t>
      </w:r>
      <w:r>
        <w:t>argument mot att</w:t>
      </w:r>
      <w:r w:rsidR="00270E02">
        <w:t xml:space="preserve"> </w:t>
      </w:r>
      <w:r w:rsidR="00B6799A">
        <w:t>avgränsa</w:t>
      </w:r>
      <w:r w:rsidR="00DA0888">
        <w:t xml:space="preserve"> omfattning genom att </w:t>
      </w:r>
      <w:r w:rsidR="00270E02">
        <w:t>lägga till ”digitala”</w:t>
      </w:r>
      <w:r w:rsidR="00DA0888">
        <w:t xml:space="preserve"> i titel på svensk lag.</w:t>
      </w:r>
    </w:p>
    <w:p w14:paraId="528234B6" w14:textId="2D45C933" w:rsidR="003C66F9" w:rsidRDefault="003C66F9" w:rsidP="006D09BB"/>
    <w:p w14:paraId="5F3E6D7F" w14:textId="0655D671" w:rsidR="007324AA" w:rsidRDefault="003C66F9" w:rsidP="006D09BB">
      <w:r w:rsidRPr="00DE691A">
        <w:rPr>
          <w:b/>
          <w:bCs/>
        </w:rPr>
        <w:t xml:space="preserve">Genom EU-kommissionens förslag till standardiseringsbegäran är det tydligt att </w:t>
      </w:r>
      <w:r w:rsidR="00816B07" w:rsidRPr="00DE691A">
        <w:rPr>
          <w:b/>
          <w:bCs/>
        </w:rPr>
        <w:t xml:space="preserve">de harmoniserade standarder som ska revideras eller tas fram ska kunna användas </w:t>
      </w:r>
      <w:r w:rsidR="00DC673E" w:rsidRPr="00DE691A">
        <w:rPr>
          <w:b/>
          <w:bCs/>
        </w:rPr>
        <w:t>för andra unionsakter.</w:t>
      </w:r>
      <w:r w:rsidR="00DC673E">
        <w:t xml:space="preserve"> </w:t>
      </w:r>
      <w:r w:rsidR="00DE691A">
        <w:t xml:space="preserve"> Det står i</w:t>
      </w:r>
      <w:r w:rsidR="003417D1">
        <w:t xml:space="preserve"> d</w:t>
      </w:r>
      <w:r w:rsidR="00DC673E">
        <w:t xml:space="preserve">irektivet (artikel 25) </w:t>
      </w:r>
      <w:r w:rsidR="003417D1">
        <w:t xml:space="preserve">att </w:t>
      </w:r>
      <w:r w:rsidR="00DC4C8E">
        <w:t xml:space="preserve">överenstämmelse med </w:t>
      </w:r>
      <w:r w:rsidR="00B70C4E">
        <w:t>harmoniserade standarder och tekniska specifikationer</w:t>
      </w:r>
      <w:r w:rsidR="00DC4C8E">
        <w:t xml:space="preserve"> som tagits fram i enlighet med artikel 15 </w:t>
      </w:r>
      <w:r w:rsidR="00B70C4E">
        <w:t xml:space="preserve">eller delar därav ska </w:t>
      </w:r>
      <w:r w:rsidR="007324AA">
        <w:t>utgör</w:t>
      </w:r>
      <w:r w:rsidR="00B70C4E">
        <w:t>a</w:t>
      </w:r>
      <w:r w:rsidR="007324AA">
        <w:t xml:space="preserve"> antagande om </w:t>
      </w:r>
      <w:r w:rsidR="00DC4C8E">
        <w:t xml:space="preserve">efterlevnad </w:t>
      </w:r>
      <w:r w:rsidR="007324AA">
        <w:t>(</w:t>
      </w:r>
      <w:proofErr w:type="spellStart"/>
      <w:r w:rsidR="007324AA">
        <w:t>presumption</w:t>
      </w:r>
      <w:proofErr w:type="spellEnd"/>
      <w:r w:rsidR="007324AA">
        <w:t xml:space="preserve"> </w:t>
      </w:r>
      <w:proofErr w:type="spellStart"/>
      <w:r w:rsidR="007324AA">
        <w:t>of</w:t>
      </w:r>
      <w:proofErr w:type="spellEnd"/>
      <w:r w:rsidR="007324AA">
        <w:t xml:space="preserve"> </w:t>
      </w:r>
      <w:proofErr w:type="spellStart"/>
      <w:r w:rsidR="007324AA">
        <w:t>co</w:t>
      </w:r>
      <w:r w:rsidR="00DC4C8E">
        <w:t>mpliance</w:t>
      </w:r>
      <w:proofErr w:type="spellEnd"/>
      <w:r w:rsidR="007324AA">
        <w:t>) med</w:t>
      </w:r>
      <w:r w:rsidR="00B70C4E">
        <w:t xml:space="preserve"> </w:t>
      </w:r>
      <w:r w:rsidR="007324AA">
        <w:t>artikel 24</w:t>
      </w:r>
      <w:r w:rsidR="0022418E">
        <w:t xml:space="preserve">. I artikel </w:t>
      </w:r>
      <w:r w:rsidR="00460029">
        <w:t xml:space="preserve">24 anges </w:t>
      </w:r>
      <w:r w:rsidR="00DC4C8E">
        <w:t xml:space="preserve">att alla produkter och tjänster som uppfyller kraven i bilaga 1 </w:t>
      </w:r>
      <w:r w:rsidR="00460029">
        <w:t xml:space="preserve">ska </w:t>
      </w:r>
      <w:r w:rsidR="00304F08">
        <w:t xml:space="preserve">antas </w:t>
      </w:r>
      <w:r w:rsidR="00460029">
        <w:t xml:space="preserve">fullgöra relevanta skyldigheter om tillgänglighet i andra unionsakter om inte något annat föreskrivs i dessa. </w:t>
      </w:r>
    </w:p>
    <w:p w14:paraId="4C416105" w14:textId="77777777" w:rsidR="000C4EF8" w:rsidRDefault="000C4EF8" w:rsidP="006D09BB"/>
    <w:p w14:paraId="66F6B992" w14:textId="1537417D" w:rsidR="006D09BB" w:rsidRDefault="006D09BB" w:rsidP="0032185C">
      <w:pPr>
        <w:pStyle w:val="Rubrik3"/>
      </w:pPr>
      <w:r>
        <w:t>13 Oproportionerligt stor börda eller grundläggande ändring</w:t>
      </w:r>
    </w:p>
    <w:p w14:paraId="35E9B58D" w14:textId="5EE84A86" w:rsidR="00443337" w:rsidRDefault="00443337" w:rsidP="00443337">
      <w:r w:rsidRPr="00965896">
        <w:rPr>
          <w:b/>
          <w:bCs/>
        </w:rPr>
        <w:t>Funktionsrätt Sverige</w:t>
      </w:r>
      <w:r w:rsidRPr="00E70F4B">
        <w:rPr>
          <w:b/>
          <w:bCs/>
        </w:rPr>
        <w:t xml:space="preserve"> anser att begreppet </w:t>
      </w:r>
      <w:r w:rsidR="006304A0" w:rsidRPr="00E70F4B">
        <w:rPr>
          <w:b/>
          <w:bCs/>
        </w:rPr>
        <w:t xml:space="preserve">oproportionerligt stor börda </w:t>
      </w:r>
      <w:r w:rsidR="00965896" w:rsidRPr="00E70F4B">
        <w:rPr>
          <w:b/>
          <w:bCs/>
        </w:rPr>
        <w:t>(</w:t>
      </w:r>
      <w:r w:rsidR="006304A0" w:rsidRPr="00E70F4B">
        <w:rPr>
          <w:b/>
          <w:bCs/>
        </w:rPr>
        <w:t>inte oskäligt betungande</w:t>
      </w:r>
      <w:r w:rsidR="00965896" w:rsidRPr="00E70F4B">
        <w:rPr>
          <w:b/>
          <w:bCs/>
        </w:rPr>
        <w:t>)</w:t>
      </w:r>
      <w:r w:rsidR="006304A0" w:rsidRPr="00E70F4B">
        <w:rPr>
          <w:b/>
          <w:bCs/>
        </w:rPr>
        <w:t xml:space="preserve"> ska användas i lagen</w:t>
      </w:r>
      <w:r w:rsidR="006304A0">
        <w:t>. Det överensstämmer med direktivet</w:t>
      </w:r>
      <w:r w:rsidR="002028F1">
        <w:t>. V</w:t>
      </w:r>
      <w:r w:rsidR="0049189E">
        <w:t xml:space="preserve">i </w:t>
      </w:r>
      <w:r w:rsidR="004D6A21">
        <w:t xml:space="preserve">ser en risk för sammanblandning </w:t>
      </w:r>
      <w:r w:rsidR="0049189E">
        <w:t xml:space="preserve">med diskrimineringslagens krav på skäliga </w:t>
      </w:r>
      <w:r w:rsidR="004D6A21">
        <w:t>åtgärder för tillgänglighet</w:t>
      </w:r>
      <w:r w:rsidR="00463397">
        <w:t>.</w:t>
      </w:r>
    </w:p>
    <w:p w14:paraId="785BDDF9" w14:textId="775F9409" w:rsidR="0049189E" w:rsidRDefault="0049189E" w:rsidP="00443337"/>
    <w:p w14:paraId="6D300269" w14:textId="107FF277" w:rsidR="00EC7A5C" w:rsidRDefault="0071399F" w:rsidP="006D09BB">
      <w:r>
        <w:t xml:space="preserve">Vi betonar att undantag kopplat till grundläggande ändring och/eller oproportionerligt stor börda, </w:t>
      </w:r>
      <w:r w:rsidR="00AD2DC9">
        <w:t xml:space="preserve">beskrivs som </w:t>
      </w:r>
      <w:r>
        <w:t xml:space="preserve">exceptionella </w:t>
      </w:r>
      <w:r w:rsidR="00AD2DC9">
        <w:t xml:space="preserve">undantag </w:t>
      </w:r>
      <w:r w:rsidR="005E79E7">
        <w:t xml:space="preserve">(skäl 66). </w:t>
      </w:r>
      <w:r w:rsidR="00D15069">
        <w:t>Det är viktigt att e</w:t>
      </w:r>
      <w:r w:rsidR="00BC17C0">
        <w:t xml:space="preserve">konomiska aktörer </w:t>
      </w:r>
      <w:r w:rsidR="00D15069">
        <w:t>lägger</w:t>
      </w:r>
      <w:r w:rsidR="00BC17C0">
        <w:t xml:space="preserve"> </w:t>
      </w:r>
      <w:r w:rsidR="009C3AF4">
        <w:t xml:space="preserve">resurser på att uppfylla </w:t>
      </w:r>
      <w:r w:rsidR="009C3AF4">
        <w:lastRenderedPageBreak/>
        <w:t>det som efterfrågas</w:t>
      </w:r>
      <w:r w:rsidR="00755A2B">
        <w:t>,</w:t>
      </w:r>
      <w:r w:rsidR="009C3AF4">
        <w:t xml:space="preserve"> nämligen tillgänglighetskrav, inte </w:t>
      </w:r>
      <w:r w:rsidR="00316D96">
        <w:t xml:space="preserve">på att tolka </w:t>
      </w:r>
      <w:r w:rsidR="00A2769E">
        <w:t>exceptionella</w:t>
      </w:r>
      <w:r w:rsidR="009C3AF4">
        <w:t xml:space="preserve"> </w:t>
      </w:r>
      <w:r w:rsidR="0072551E">
        <w:t>undantag.</w:t>
      </w:r>
      <w:r w:rsidR="009916FB">
        <w:t xml:space="preserve"> Eftersom utredningen konstaterar </w:t>
      </w:r>
      <w:r w:rsidR="00EE2D66">
        <w:t xml:space="preserve">stora </w:t>
      </w:r>
      <w:r w:rsidR="009916FB">
        <w:t xml:space="preserve">tolkningssvårigheter och </w:t>
      </w:r>
      <w:r w:rsidR="008E76B3">
        <w:t xml:space="preserve">behov av </w:t>
      </w:r>
      <w:r w:rsidR="00240299">
        <w:t>delegerade akter i enlighet med arti</w:t>
      </w:r>
      <w:r w:rsidR="006D09BB">
        <w:t>kel 14.7</w:t>
      </w:r>
      <w:r w:rsidR="0051437C">
        <w:t xml:space="preserve"> och 26</w:t>
      </w:r>
      <w:r w:rsidR="006D09BB">
        <w:t xml:space="preserve"> </w:t>
      </w:r>
      <w:r w:rsidR="00240299">
        <w:t xml:space="preserve">för </w:t>
      </w:r>
      <w:r w:rsidR="006D09BB">
        <w:t>att klargöra kriterierna</w:t>
      </w:r>
      <w:r w:rsidR="00240299">
        <w:t xml:space="preserve"> är det </w:t>
      </w:r>
      <w:r w:rsidR="00240299" w:rsidRPr="00B94C82">
        <w:rPr>
          <w:b/>
          <w:bCs/>
        </w:rPr>
        <w:t xml:space="preserve">olämpligt att </w:t>
      </w:r>
      <w:r w:rsidR="008E76B3">
        <w:rPr>
          <w:b/>
          <w:bCs/>
        </w:rPr>
        <w:t>omformulera</w:t>
      </w:r>
      <w:r w:rsidR="00B94C82" w:rsidRPr="00B94C82">
        <w:rPr>
          <w:b/>
          <w:bCs/>
        </w:rPr>
        <w:t xml:space="preserve"> </w:t>
      </w:r>
      <w:r w:rsidR="00B94C82">
        <w:t xml:space="preserve">och lägga </w:t>
      </w:r>
      <w:r w:rsidR="00EC7A5C">
        <w:t>text</w:t>
      </w:r>
      <w:r w:rsidR="00B94C82">
        <w:t xml:space="preserve"> på en högre författningsnivå</w:t>
      </w:r>
      <w:r w:rsidR="00EC7A5C">
        <w:t xml:space="preserve"> än föreskrift. </w:t>
      </w:r>
    </w:p>
    <w:p w14:paraId="76580FE2" w14:textId="2B6656DA" w:rsidR="00E70F4B" w:rsidRDefault="00E70F4B" w:rsidP="006D09BB"/>
    <w:p w14:paraId="39472692" w14:textId="6790109A" w:rsidR="006909FD" w:rsidRDefault="006909FD" w:rsidP="006D09BB">
      <w:r>
        <w:t xml:space="preserve">När det gäller undantag för mikroföretag </w:t>
      </w:r>
      <w:r w:rsidR="00D15069">
        <w:t xml:space="preserve">ska det framgå att </w:t>
      </w:r>
      <w:r w:rsidR="00F12DF0">
        <w:t>de</w:t>
      </w:r>
      <w:r>
        <w:t xml:space="preserve"> </w:t>
      </w:r>
      <w:r w:rsidR="00D15069">
        <w:t xml:space="preserve">är </w:t>
      </w:r>
      <w:r>
        <w:t xml:space="preserve">skyldiga att ta fram </w:t>
      </w:r>
      <w:r w:rsidR="006B7DB2">
        <w:t xml:space="preserve">dokumentation på begäran </w:t>
      </w:r>
      <w:r w:rsidR="00F12DF0">
        <w:t>(</w:t>
      </w:r>
      <w:r w:rsidR="00D15069">
        <w:t xml:space="preserve">direktivet </w:t>
      </w:r>
      <w:r w:rsidR="00F12DF0">
        <w:t>artikel 14.4</w:t>
      </w:r>
      <w:r w:rsidR="00D15069">
        <w:t>)</w:t>
      </w:r>
      <w:r w:rsidR="00F12DF0">
        <w:t>.</w:t>
      </w:r>
    </w:p>
    <w:p w14:paraId="7EE81F9A" w14:textId="77777777" w:rsidR="00B94C82" w:rsidRDefault="00B94C82" w:rsidP="006D09BB"/>
    <w:p w14:paraId="1E65269E" w14:textId="77777777" w:rsidR="006D09BB" w:rsidRDefault="006D09BB" w:rsidP="0032185C">
      <w:pPr>
        <w:pStyle w:val="Rubrik3"/>
      </w:pPr>
      <w:r>
        <w:t>14 Produkters överensstämmelse</w:t>
      </w:r>
    </w:p>
    <w:p w14:paraId="325CD974" w14:textId="04AC58D8" w:rsidR="0091094E" w:rsidRDefault="00BA1263" w:rsidP="0091094E">
      <w:r w:rsidRPr="00A64D0A">
        <w:rPr>
          <w:b/>
          <w:bCs/>
        </w:rPr>
        <w:t xml:space="preserve">Funktionsrätt Sverige </w:t>
      </w:r>
      <w:r w:rsidR="00A64D0A" w:rsidRPr="00A64D0A">
        <w:rPr>
          <w:b/>
          <w:bCs/>
        </w:rPr>
        <w:t>saknar</w:t>
      </w:r>
      <w:r w:rsidR="00995FC5" w:rsidRPr="00A64D0A">
        <w:rPr>
          <w:b/>
          <w:bCs/>
        </w:rPr>
        <w:t xml:space="preserve"> </w:t>
      </w:r>
      <w:r w:rsidR="0009665C">
        <w:rPr>
          <w:b/>
          <w:bCs/>
        </w:rPr>
        <w:t xml:space="preserve">förslag till </w:t>
      </w:r>
      <w:r w:rsidR="00DA20FF">
        <w:rPr>
          <w:b/>
          <w:bCs/>
        </w:rPr>
        <w:t xml:space="preserve">text om </w:t>
      </w:r>
      <w:r w:rsidR="008F5F69">
        <w:rPr>
          <w:b/>
          <w:bCs/>
        </w:rPr>
        <w:t xml:space="preserve">befogenheter att </w:t>
      </w:r>
      <w:r w:rsidR="00DA20FF" w:rsidRPr="002F67A8">
        <w:rPr>
          <w:b/>
          <w:bCs/>
        </w:rPr>
        <w:t>ta bort (</w:t>
      </w:r>
      <w:proofErr w:type="spellStart"/>
      <w:r w:rsidR="00DA20FF" w:rsidRPr="002F67A8">
        <w:rPr>
          <w:b/>
          <w:bCs/>
        </w:rPr>
        <w:t>withdraw</w:t>
      </w:r>
      <w:proofErr w:type="spellEnd"/>
      <w:r w:rsidR="00DA20FF" w:rsidRPr="002F67A8">
        <w:rPr>
          <w:b/>
          <w:bCs/>
        </w:rPr>
        <w:t xml:space="preserve">) en produkt från marknaden </w:t>
      </w:r>
      <w:r w:rsidR="0091094E">
        <w:t>(</w:t>
      </w:r>
      <w:r w:rsidR="0009665C">
        <w:t xml:space="preserve">från direktivets </w:t>
      </w:r>
      <w:r w:rsidR="0091094E">
        <w:t>artikel 20 och 21)</w:t>
      </w:r>
      <w:r w:rsidR="00E7304A">
        <w:t>. Det måste</w:t>
      </w:r>
      <w:r w:rsidR="0091094E">
        <w:t xml:space="preserve"> framgå i text i lagen</w:t>
      </w:r>
      <w:r w:rsidR="002F67A8">
        <w:t xml:space="preserve"> men saknas </w:t>
      </w:r>
      <w:r w:rsidR="00E943A2">
        <w:t xml:space="preserve">i förslaget som rör </w:t>
      </w:r>
      <w:r w:rsidR="00E943A2" w:rsidRPr="00B52F0C">
        <w:t>undersökningar och marknadskontroll (14.4.7).</w:t>
      </w:r>
    </w:p>
    <w:p w14:paraId="5F1E74E2" w14:textId="2F0F164D" w:rsidR="00944583" w:rsidRDefault="00944583" w:rsidP="002707AE"/>
    <w:p w14:paraId="6D3D5D8B" w14:textId="270F8EB1" w:rsidR="00990934" w:rsidRPr="00C77869" w:rsidRDefault="00BB6DE8" w:rsidP="002707AE">
      <w:pPr>
        <w:rPr>
          <w:lang w:val="en-GB"/>
        </w:rPr>
      </w:pPr>
      <w:r>
        <w:t>Formuleringen</w:t>
      </w:r>
      <w:r w:rsidR="00362C7E">
        <w:t xml:space="preserve"> när det gäller marknadskontroll</w:t>
      </w:r>
      <w:r w:rsidR="00384B60">
        <w:t>ens omfattning (14.4.6)</w:t>
      </w:r>
      <w:r w:rsidR="00404586">
        <w:t xml:space="preserve"> om att ”g</w:t>
      </w:r>
      <w:r>
        <w:t>ranskningen av det åberopade undantaget ska utgå från de uppgifter och omständigheter som var kända för den ekonomiske aktören</w:t>
      </w:r>
      <w:r w:rsidR="00404586">
        <w:t xml:space="preserve">” </w:t>
      </w:r>
      <w:r w:rsidR="00384B60">
        <w:t>utgör en begränsning i förhållande till direktivet om att endast legitima skäl kan utgöra en grund</w:t>
      </w:r>
      <w:r w:rsidR="00C77869">
        <w:t xml:space="preserve"> för att åberopa oproportionerligt stor börda. </w:t>
      </w:r>
      <w:proofErr w:type="spellStart"/>
      <w:r w:rsidR="00384B60" w:rsidRPr="00384B60">
        <w:rPr>
          <w:lang w:val="en-GB"/>
        </w:rPr>
        <w:t>Citat</w:t>
      </w:r>
      <w:proofErr w:type="spellEnd"/>
      <w:r w:rsidR="00C77869">
        <w:rPr>
          <w:lang w:val="en-GB"/>
        </w:rPr>
        <w:t xml:space="preserve"> (</w:t>
      </w:r>
      <w:proofErr w:type="spellStart"/>
      <w:r w:rsidR="00C77869">
        <w:rPr>
          <w:lang w:val="en-GB"/>
        </w:rPr>
        <w:t>skäl</w:t>
      </w:r>
      <w:proofErr w:type="spellEnd"/>
      <w:r w:rsidR="00C77869">
        <w:rPr>
          <w:lang w:val="en-GB"/>
        </w:rPr>
        <w:t xml:space="preserve"> 66)</w:t>
      </w:r>
      <w:r w:rsidR="00384B60" w:rsidRPr="00384B60">
        <w:rPr>
          <w:lang w:val="en-GB"/>
        </w:rPr>
        <w:t xml:space="preserve">: </w:t>
      </w:r>
      <w:r w:rsidR="00C77869" w:rsidRPr="00C77869">
        <w:rPr>
          <w:lang w:val="en-GB"/>
        </w:rPr>
        <w:t>“</w:t>
      </w:r>
      <w:r w:rsidR="00C77869" w:rsidRPr="00C77869">
        <w:rPr>
          <w:b/>
          <w:bCs/>
          <w:lang w:val="en-GB"/>
        </w:rPr>
        <w:t>Lack of priority, time or knowledge should not be considered to be legitimate reasons</w:t>
      </w:r>
      <w:r w:rsidR="00384B60" w:rsidRPr="00C77869">
        <w:rPr>
          <w:lang w:val="en-GB"/>
        </w:rPr>
        <w:t>.</w:t>
      </w:r>
      <w:r w:rsidR="00C77869" w:rsidRPr="00C77869">
        <w:rPr>
          <w:lang w:val="en-GB"/>
        </w:rPr>
        <w:t>”</w:t>
      </w:r>
      <w:r w:rsidR="00404586" w:rsidRPr="00C77869">
        <w:rPr>
          <w:lang w:val="en-GB"/>
        </w:rPr>
        <w:t xml:space="preserve"> </w:t>
      </w:r>
    </w:p>
    <w:p w14:paraId="5D6A6D53" w14:textId="03EB35A8" w:rsidR="00894564" w:rsidRPr="00384B60" w:rsidRDefault="00894564" w:rsidP="002707AE">
      <w:pPr>
        <w:rPr>
          <w:lang w:val="en-GB"/>
        </w:rPr>
      </w:pPr>
      <w:r w:rsidRPr="00384B60">
        <w:rPr>
          <w:lang w:val="en-GB"/>
        </w:rPr>
        <w:t xml:space="preserve"> </w:t>
      </w:r>
    </w:p>
    <w:p w14:paraId="684D0AFF" w14:textId="6CB29BED" w:rsidR="00490EE7" w:rsidRPr="000925E8" w:rsidRDefault="00490EE7" w:rsidP="002707AE">
      <w:r>
        <w:t>Riktlinjer för digital tillgänglighet har funnits sedan förra seklet. Det finns kunskap om tillgänglighet för den som vill lära sig.</w:t>
      </w:r>
      <w:r w:rsidR="00294F65">
        <w:t xml:space="preserve"> På området tillgängliga medier där krav på tillgänglighet funnits sedan direktivet för audiovisuella medietjänster 2008, har vi som ideell organisation kunnat engagera oss i utvecklingen internationellt. Det har varit möjligt för svenska företag att engagera sig och utveckla</w:t>
      </w:r>
      <w:r w:rsidR="00774576">
        <w:t xml:space="preserve"> tillgänglighet</w:t>
      </w:r>
      <w:r w:rsidR="00294F65">
        <w:t xml:space="preserve"> under decennier. </w:t>
      </w:r>
      <w:r w:rsidR="00774576">
        <w:t>Nu är det inte frivilligt längre</w:t>
      </w:r>
      <w:r w:rsidR="007C36DE">
        <w:t>.</w:t>
      </w:r>
    </w:p>
    <w:p w14:paraId="2B50C7E4" w14:textId="77777777" w:rsidR="00724177" w:rsidRPr="00724177" w:rsidRDefault="00724177" w:rsidP="00724177"/>
    <w:p w14:paraId="4D87E712" w14:textId="7F27A94D" w:rsidR="006D09BB" w:rsidRDefault="006D09BB" w:rsidP="000152A1">
      <w:pPr>
        <w:pStyle w:val="Rubrik3"/>
      </w:pPr>
      <w:r>
        <w:t>Kapitel 15 Tjänsters överensstämmelse</w:t>
      </w:r>
    </w:p>
    <w:p w14:paraId="360311A1" w14:textId="77777777" w:rsidR="00E7031E" w:rsidRDefault="00E7031E" w:rsidP="00E7031E">
      <w:pPr>
        <w:pStyle w:val="Ingetavstnd"/>
      </w:pPr>
      <w:r w:rsidRPr="00E40F64">
        <w:rPr>
          <w:b/>
          <w:bCs/>
        </w:rPr>
        <w:t>Funk</w:t>
      </w:r>
      <w:r>
        <w:rPr>
          <w:b/>
          <w:bCs/>
        </w:rPr>
        <w:t>t</w:t>
      </w:r>
      <w:r w:rsidRPr="00E40F64">
        <w:rPr>
          <w:b/>
          <w:bCs/>
        </w:rPr>
        <w:t xml:space="preserve">ionsrätt Sverige anser </w:t>
      </w:r>
      <w:r w:rsidRPr="002E6A2D">
        <w:rPr>
          <w:b/>
          <w:bCs/>
        </w:rPr>
        <w:t>att texterna med bedömningar och förslag om ansvar i en kedja av tjänster i relation till e-handel, beställning, betalning och distribution behöver förtydligas.</w:t>
      </w:r>
      <w:r>
        <w:t xml:space="preserve"> </w:t>
      </w:r>
    </w:p>
    <w:p w14:paraId="2EC83005" w14:textId="77777777" w:rsidR="00E7031E" w:rsidRDefault="00E7031E" w:rsidP="00E7031E">
      <w:pPr>
        <w:pStyle w:val="Ingetavstnd"/>
      </w:pPr>
    </w:p>
    <w:p w14:paraId="4A33885C" w14:textId="50E7042F" w:rsidR="00E7031E" w:rsidRDefault="00E7031E" w:rsidP="00E7031E">
      <w:pPr>
        <w:pStyle w:val="Ingetavstnd"/>
      </w:pPr>
      <w:r>
        <w:t xml:space="preserve">Det är svårt för en konsument att förstå vem som har ansvar och vem man ingått avtal med. Det i sig utgör hinder för tillgänglighet. Det framgår inte alltid att man förflyttas till en annan tjänsteleverantör när man väljer betalningssätt i en e-handelsbutik. Det borde vara den som bedriver e-handel där konsumenter </w:t>
      </w:r>
      <w:r w:rsidRPr="004E7627">
        <w:rPr>
          <w:b/>
          <w:bCs/>
        </w:rPr>
        <w:t>beställer</w:t>
      </w:r>
      <w:r>
        <w:t xml:space="preserve"> en produkt eller tjänst som är ansvarig för att kontrollera att hela kedjan av underleverantörer, betalning och distribution uppfyller krav på tillgänglighet.</w:t>
      </w:r>
    </w:p>
    <w:p w14:paraId="5D5A9543" w14:textId="77777777" w:rsidR="00496584" w:rsidRDefault="00496584" w:rsidP="001C34A3">
      <w:pPr>
        <w:pStyle w:val="Ingetavstnd"/>
      </w:pPr>
    </w:p>
    <w:p w14:paraId="2FE22255" w14:textId="3A116BA3" w:rsidR="00C142A4" w:rsidRDefault="003E55AA" w:rsidP="001C34A3">
      <w:pPr>
        <w:pStyle w:val="Ingetavstnd"/>
      </w:pPr>
      <w:r>
        <w:lastRenderedPageBreak/>
        <w:t>Funktionsrätt Sverige anser att</w:t>
      </w:r>
      <w:r w:rsidR="00496584">
        <w:t xml:space="preserve"> </w:t>
      </w:r>
      <w:r w:rsidR="0061383D">
        <w:t>kraven i direktivets bilaga V, behöv</w:t>
      </w:r>
      <w:r w:rsidR="009F662E">
        <w:t xml:space="preserve">er lyftas fram. Det finns </w:t>
      </w:r>
      <w:r w:rsidR="00E6140E">
        <w:t xml:space="preserve">enkla lösningar på </w:t>
      </w:r>
      <w:r w:rsidR="009F662E">
        <w:t>h</w:t>
      </w:r>
      <w:r w:rsidR="0004674E">
        <w:t>ur</w:t>
      </w:r>
      <w:r w:rsidR="00A30367">
        <w:t xml:space="preserve"> </w:t>
      </w:r>
      <w:r w:rsidR="00C856B0">
        <w:t>ekonomiska aktörer öppet deklarerar tillgänglighet</w:t>
      </w:r>
      <w:r w:rsidR="0061383D">
        <w:t xml:space="preserve"> till webbaserade tjänster </w:t>
      </w:r>
      <w:r w:rsidR="00C856B0">
        <w:t xml:space="preserve">på liknande sätt som krävs i </w:t>
      </w:r>
      <w:r w:rsidR="00366DC4">
        <w:t>webbtillgänglighetsdirektivet</w:t>
      </w:r>
      <w:r w:rsidR="00E6140E">
        <w:t xml:space="preserve"> i andra länder</w:t>
      </w:r>
      <w:r w:rsidR="00C856B0">
        <w:t xml:space="preserve">. I USA använder branschen </w:t>
      </w:r>
      <w:r w:rsidR="00E6140E">
        <w:t xml:space="preserve">även </w:t>
      </w:r>
      <w:r w:rsidR="00C856B0">
        <w:t xml:space="preserve">frivilliga mallar för att </w:t>
      </w:r>
      <w:r w:rsidR="0097361D">
        <w:t xml:space="preserve">offentliggöra hur produkter och tjänster lever upp till </w:t>
      </w:r>
      <w:r w:rsidR="00C142A4">
        <w:t>standarder så att det går lätt att jämföra.</w:t>
      </w:r>
    </w:p>
    <w:p w14:paraId="29F40DCB" w14:textId="77777777" w:rsidR="00C142A4" w:rsidRDefault="00C142A4" w:rsidP="001C34A3">
      <w:pPr>
        <w:pStyle w:val="Ingetavstnd"/>
      </w:pPr>
    </w:p>
    <w:p w14:paraId="31E8BBCD" w14:textId="043EC70B" w:rsidR="00E15D29" w:rsidRDefault="00446CE3" w:rsidP="001C34A3">
      <w:pPr>
        <w:pStyle w:val="Ingetavstnd"/>
      </w:pPr>
      <w:r>
        <w:t xml:space="preserve">En fördel är att dessa deklarationer placeras på samma ställe, helst i sidfoten på en webbplats, </w:t>
      </w:r>
      <w:r w:rsidR="00D03204">
        <w:t>och har</w:t>
      </w:r>
      <w:r>
        <w:t xml:space="preserve"> information om klagomålshantering.</w:t>
      </w:r>
      <w:r w:rsidR="00F50637">
        <w:t xml:space="preserve"> Detta fungerar redan </w:t>
      </w:r>
      <w:r w:rsidR="00225C69">
        <w:t xml:space="preserve">i </w:t>
      </w:r>
      <w:r w:rsidR="00F50637">
        <w:t xml:space="preserve">många kommersiella </w:t>
      </w:r>
      <w:r w:rsidR="0045756E">
        <w:t>företag internationell</w:t>
      </w:r>
      <w:r w:rsidR="00225C69">
        <w:t xml:space="preserve">t. </w:t>
      </w:r>
      <w:r w:rsidR="0045756E">
        <w:t>Det finns också forskning och arbete som underlättar granskning och tillsyn av tillgänglighet med stöd av AI</w:t>
      </w:r>
      <w:r w:rsidR="00E15D29">
        <w:t>.</w:t>
      </w:r>
      <w:r w:rsidR="00F50637">
        <w:t xml:space="preserve"> </w:t>
      </w:r>
      <w:r w:rsidR="00E15D29">
        <w:t>Utredningen anser att varje tillsynsmyndighet ska bestämma</w:t>
      </w:r>
      <w:r w:rsidR="00AA7F3E">
        <w:t xml:space="preserve"> hantering av klagomål</w:t>
      </w:r>
      <w:r w:rsidR="00E15D29">
        <w:t xml:space="preserve"> (15.7.2). Det riskerar a</w:t>
      </w:r>
      <w:r w:rsidR="00AA7F3E">
        <w:t xml:space="preserve">tt leda till olika lösningar </w:t>
      </w:r>
      <w:r w:rsidR="00F94A65">
        <w:t>som försvårar för både företag och konsumenter.</w:t>
      </w:r>
    </w:p>
    <w:p w14:paraId="71EF2946" w14:textId="77777777" w:rsidR="00366DC4" w:rsidRDefault="00366DC4" w:rsidP="001C34A3">
      <w:pPr>
        <w:pStyle w:val="Ingetavstnd"/>
      </w:pPr>
    </w:p>
    <w:p w14:paraId="433ECCC5" w14:textId="3C0740A4" w:rsidR="00206138" w:rsidRDefault="00AD09C1" w:rsidP="001C34A3">
      <w:pPr>
        <w:pStyle w:val="Ingetavstnd"/>
      </w:pPr>
      <w:r>
        <w:t xml:space="preserve">Funktionsrätt Sverige anser att det är viktigt med </w:t>
      </w:r>
      <w:r w:rsidR="00564E82">
        <w:t>öppenhet</w:t>
      </w:r>
      <w:r w:rsidR="0095250B">
        <w:t xml:space="preserve"> kring åtgärder vid bristande överensstämmelse (15.7.3). </w:t>
      </w:r>
      <w:r w:rsidR="00913F31">
        <w:t>S</w:t>
      </w:r>
      <w:r w:rsidR="0095250B">
        <w:t>lutna dialoger som myndigheter ofta tillämpar i Sverige, hjälper inte de som ska leva upp till en lag. En mer öppen ärendehantering (</w:t>
      </w:r>
      <w:r w:rsidR="00BA7230">
        <w:t>utan personuppgifter) med lösningar skulle underlätta att misstag inte upprepas och att klagomål kan utgöra ett stöd i regelefterlevnad. I</w:t>
      </w:r>
      <w:r w:rsidR="005F7C5F">
        <w:t xml:space="preserve">dag får den som anmäler </w:t>
      </w:r>
      <w:r w:rsidR="0047290C">
        <w:t xml:space="preserve">ingen </w:t>
      </w:r>
      <w:r w:rsidR="005F7C5F">
        <w:t xml:space="preserve">meningsfull återkoppling om ett </w:t>
      </w:r>
      <w:r w:rsidR="00BA7230">
        <w:t>klagomål leder till någon åtgärd.</w:t>
      </w:r>
      <w:r w:rsidR="00206138">
        <w:t xml:space="preserve"> </w:t>
      </w:r>
    </w:p>
    <w:p w14:paraId="1F0107EA" w14:textId="77777777" w:rsidR="00206138" w:rsidRDefault="00206138" w:rsidP="001C34A3">
      <w:pPr>
        <w:pStyle w:val="Ingetavstnd"/>
      </w:pPr>
    </w:p>
    <w:p w14:paraId="3CC7E7B1" w14:textId="52A077CB" w:rsidR="006D09BB" w:rsidRDefault="00E2313A" w:rsidP="00A633E4">
      <w:pPr>
        <w:pStyle w:val="Ingetavstnd"/>
      </w:pPr>
      <w:r>
        <w:t>E</w:t>
      </w:r>
      <w:r w:rsidR="00206138">
        <w:t xml:space="preserve">rfarenheter av de stora brister i regelefterlevnad </w:t>
      </w:r>
      <w:r w:rsidR="0034034E">
        <w:t xml:space="preserve">som rör tillgänglighet </w:t>
      </w:r>
      <w:r>
        <w:t xml:space="preserve">skapar oro </w:t>
      </w:r>
      <w:r w:rsidR="00A94C21">
        <w:t>över</w:t>
      </w:r>
      <w:r w:rsidR="008B674E">
        <w:t xml:space="preserve"> hur tillsynsmyndigheter ska bedöma </w:t>
      </w:r>
      <w:r w:rsidR="00A633E4">
        <w:t>åberopande av opropo</w:t>
      </w:r>
      <w:r w:rsidR="006D09BB">
        <w:t>rtionerligt stor börda</w:t>
      </w:r>
      <w:r w:rsidR="006647CA">
        <w:t xml:space="preserve"> (15.7.4)</w:t>
      </w:r>
      <w:r w:rsidR="00A633E4">
        <w:t xml:space="preserve">. </w:t>
      </w:r>
      <w:r w:rsidR="000466BA">
        <w:t xml:space="preserve">Även </w:t>
      </w:r>
      <w:r w:rsidR="00081DC8">
        <w:t xml:space="preserve">när det gäller tjänster har utredningen en otydlig formulering om </w:t>
      </w:r>
      <w:r w:rsidR="006556CE">
        <w:t>vad som var känt för den ekonomiska aktören. Det är inte i</w:t>
      </w:r>
      <w:r w:rsidR="00792894">
        <w:t xml:space="preserve"> linje med </w:t>
      </w:r>
      <w:r w:rsidR="00A633E4">
        <w:t>legitima skäl (skäl 66)</w:t>
      </w:r>
      <w:r w:rsidR="001B15C7">
        <w:t>. Det måste ändras och förtydligas</w:t>
      </w:r>
      <w:r w:rsidR="006D09BB">
        <w:t xml:space="preserve">. </w:t>
      </w:r>
    </w:p>
    <w:p w14:paraId="6C0AE4CC" w14:textId="78F869E8" w:rsidR="008418C1" w:rsidRDefault="008418C1" w:rsidP="00A633E4">
      <w:pPr>
        <w:pStyle w:val="Ingetavstnd"/>
      </w:pPr>
    </w:p>
    <w:p w14:paraId="0784ABB5" w14:textId="3E7C4996" w:rsidR="006D09BB" w:rsidRDefault="006D09BB" w:rsidP="00AA1495">
      <w:pPr>
        <w:pStyle w:val="Rubrik3"/>
      </w:pPr>
      <w:r>
        <w:t>Kapitel 16 Behöriga myndigheter</w:t>
      </w:r>
    </w:p>
    <w:p w14:paraId="096F847C" w14:textId="78835E56" w:rsidR="000D656A" w:rsidRPr="00294AD4" w:rsidRDefault="00C51E7C" w:rsidP="000E1D7B">
      <w:pPr>
        <w:rPr>
          <w:b/>
          <w:bCs/>
        </w:rPr>
      </w:pPr>
      <w:r w:rsidRPr="00075240">
        <w:rPr>
          <w:b/>
          <w:bCs/>
        </w:rPr>
        <w:t xml:space="preserve">Funktionsrätt Sverige konstaterar att regeringen har gett </w:t>
      </w:r>
      <w:r w:rsidR="00D62DC8" w:rsidRPr="00075240">
        <w:rPr>
          <w:b/>
          <w:bCs/>
        </w:rPr>
        <w:t>30</w:t>
      </w:r>
      <w:r w:rsidRPr="00075240">
        <w:rPr>
          <w:b/>
          <w:bCs/>
        </w:rPr>
        <w:t xml:space="preserve"> myndigheter</w:t>
      </w:r>
      <w:r w:rsidR="00DD408A">
        <w:t>, däribland PTS, DIGG</w:t>
      </w:r>
      <w:r w:rsidR="009B0D26">
        <w:t>,</w:t>
      </w:r>
      <w:r w:rsidR="00DD408A">
        <w:t xml:space="preserve"> Konsumentverket</w:t>
      </w:r>
      <w:r w:rsidR="000C3C0E">
        <w:t xml:space="preserve">, </w:t>
      </w:r>
      <w:r w:rsidR="003A0A58">
        <w:t xml:space="preserve">MTM, </w:t>
      </w:r>
      <w:r w:rsidR="000C3C0E">
        <w:t>Transportstyrelsen</w:t>
      </w:r>
      <w:r w:rsidR="009B0D26">
        <w:t xml:space="preserve"> och Upphandlingsmyndigheten</w:t>
      </w:r>
      <w:r>
        <w:t xml:space="preserve"> i uppdrag att genomföra och följa upp funktionshinderpolitiken</w:t>
      </w:r>
      <w:r w:rsidR="0033780F">
        <w:rPr>
          <w:rStyle w:val="Fotnotsreferens"/>
        </w:rPr>
        <w:footnoteReference w:id="10"/>
      </w:r>
      <w:r>
        <w:t xml:space="preserve"> utifrån det funktionshinderpolitiska målet och inriktning, </w:t>
      </w:r>
      <w:r w:rsidR="002F59DF">
        <w:t>där ingår</w:t>
      </w:r>
      <w:r w:rsidR="00E02874">
        <w:t xml:space="preserve"> </w:t>
      </w:r>
      <w:r w:rsidR="00E02874" w:rsidRPr="00294AD4">
        <w:rPr>
          <w:b/>
          <w:bCs/>
        </w:rPr>
        <w:t>universell utformning och borttagande av befintliga hinder för tillgängligh</w:t>
      </w:r>
      <w:r w:rsidR="000D656A" w:rsidRPr="00294AD4">
        <w:rPr>
          <w:b/>
          <w:bCs/>
        </w:rPr>
        <w:t xml:space="preserve">et. </w:t>
      </w:r>
    </w:p>
    <w:p w14:paraId="286A5D7E" w14:textId="78CA9E20" w:rsidR="000E1D7B" w:rsidRDefault="000E1D7B" w:rsidP="000E1D7B"/>
    <w:p w14:paraId="1CD8E44F" w14:textId="3BB320C2" w:rsidR="007678AC" w:rsidRDefault="007678AC" w:rsidP="007678AC">
      <w:r>
        <w:lastRenderedPageBreak/>
        <w:t xml:space="preserve">Förutom dessa </w:t>
      </w:r>
      <w:r w:rsidR="007E4E1A">
        <w:t>29</w:t>
      </w:r>
      <w:r>
        <w:t xml:space="preserve"> myndigheter omfattas alla statliga myndigheter av förordningen 2001:526 som kräver att de själva ökar tillgänglighet. </w:t>
      </w:r>
      <w:r w:rsidR="00CA1D8A">
        <w:t>Men s</w:t>
      </w:r>
      <w:r>
        <w:t>ärskilda uppdrag till ytterligare myndigheter</w:t>
      </w:r>
      <w:r w:rsidR="00CA1D8A">
        <w:t>,</w:t>
      </w:r>
      <w:r>
        <w:t xml:space="preserve"> till exempel Finansinspektionen och Konkurrensverket </w:t>
      </w:r>
      <w:r w:rsidR="00CA1D8A">
        <w:t xml:space="preserve">kan behövas </w:t>
      </w:r>
      <w:r>
        <w:t>(16.3.1)</w:t>
      </w:r>
      <w:r w:rsidR="00C35F5C">
        <w:t xml:space="preserve">. </w:t>
      </w:r>
      <w:r w:rsidR="005D2160">
        <w:t>T</w:t>
      </w:r>
      <w:r w:rsidR="005074EC">
        <w:t>illsyn över EU:s strukturfonder</w:t>
      </w:r>
      <w:r w:rsidR="005D2160">
        <w:t xml:space="preserve"> omfattar förhandskrav på tillgänglighet. </w:t>
      </w:r>
      <w:r w:rsidR="00B95293">
        <w:t xml:space="preserve">Ansvaret flyttas från övervakningskommitté till myndigheter. </w:t>
      </w:r>
      <w:r w:rsidR="005074EC">
        <w:t xml:space="preserve">Socialfonden </w:t>
      </w:r>
      <w:r w:rsidR="004C64CA">
        <w:t>har</w:t>
      </w:r>
      <w:r w:rsidR="00EC18BA">
        <w:t xml:space="preserve"> även</w:t>
      </w:r>
      <w:r w:rsidR="005074EC">
        <w:t xml:space="preserve"> </w:t>
      </w:r>
      <w:r w:rsidR="000606E5">
        <w:t>haft särskild</w:t>
      </w:r>
      <w:r w:rsidR="005074EC">
        <w:t xml:space="preserve"> stöd</w:t>
      </w:r>
      <w:r w:rsidR="004C64CA">
        <w:t>verksamhet</w:t>
      </w:r>
      <w:r w:rsidR="005074EC">
        <w:t xml:space="preserve"> </w:t>
      </w:r>
      <w:r w:rsidR="00594360">
        <w:t xml:space="preserve">som drevs av </w:t>
      </w:r>
      <w:proofErr w:type="spellStart"/>
      <w:r w:rsidR="00594360">
        <w:t>Handisam</w:t>
      </w:r>
      <w:proofErr w:type="spellEnd"/>
      <w:r w:rsidR="00594360">
        <w:t xml:space="preserve"> och Handikappförbunden </w:t>
      </w:r>
      <w:r w:rsidR="005074EC">
        <w:t>om tillgänglighet</w:t>
      </w:r>
      <w:r w:rsidR="000606E5">
        <w:t xml:space="preserve"> i projekt</w:t>
      </w:r>
      <w:r w:rsidR="00EC18BA">
        <w:t xml:space="preserve"> </w:t>
      </w:r>
    </w:p>
    <w:p w14:paraId="10213607" w14:textId="77777777" w:rsidR="000043AF" w:rsidRDefault="000043AF" w:rsidP="000E1D7B"/>
    <w:p w14:paraId="2BC10594" w14:textId="7CD63E5E" w:rsidR="00283199" w:rsidRDefault="00373E68" w:rsidP="000E1D7B">
      <w:r>
        <w:t>S</w:t>
      </w:r>
      <w:r w:rsidR="00283199">
        <w:t>trategi</w:t>
      </w:r>
      <w:r>
        <w:t>n</w:t>
      </w:r>
      <w:r w:rsidR="00283199">
        <w:t xml:space="preserve"> </w:t>
      </w:r>
      <w:r w:rsidR="00F12E97">
        <w:t xml:space="preserve">är inte </w:t>
      </w:r>
      <w:r w:rsidR="002F59DF">
        <w:t>konkret</w:t>
      </w:r>
      <w:r w:rsidR="00283199">
        <w:t xml:space="preserve">, långt ifrån den motsvarande europeisk </w:t>
      </w:r>
      <w:r>
        <w:t>s</w:t>
      </w:r>
      <w:r w:rsidR="00283199">
        <w:t>trategin</w:t>
      </w:r>
      <w:r>
        <w:rPr>
          <w:rStyle w:val="Fotnotsreferens"/>
        </w:rPr>
        <w:footnoteReference w:id="11"/>
      </w:r>
      <w:r w:rsidR="002F59DF">
        <w:t xml:space="preserve"> som den </w:t>
      </w:r>
      <w:r w:rsidR="00096FF5">
        <w:t xml:space="preserve">dock </w:t>
      </w:r>
      <w:r w:rsidR="002F59DF">
        <w:t xml:space="preserve">hänvisar till. </w:t>
      </w:r>
      <w:r w:rsidR="00913819">
        <w:t>EU</w:t>
      </w:r>
      <w:r w:rsidR="00096FF5">
        <w:t xml:space="preserve"> utlova</w:t>
      </w:r>
      <w:r w:rsidR="00913819">
        <w:t>r</w:t>
      </w:r>
      <w:r w:rsidR="00283199">
        <w:t xml:space="preserve"> bland annat att inrätta ett </w:t>
      </w:r>
      <w:r w:rsidR="00283199" w:rsidRPr="00283199">
        <w:rPr>
          <w:b/>
          <w:bCs/>
        </w:rPr>
        <w:t xml:space="preserve">europeiskt </w:t>
      </w:r>
      <w:r>
        <w:rPr>
          <w:b/>
          <w:bCs/>
        </w:rPr>
        <w:t xml:space="preserve">resurscenter för </w:t>
      </w:r>
      <w:r w:rsidR="00283199" w:rsidRPr="00283199">
        <w:rPr>
          <w:b/>
          <w:bCs/>
        </w:rPr>
        <w:t>tillgänglighet</w:t>
      </w:r>
      <w:r>
        <w:rPr>
          <w:b/>
          <w:bCs/>
        </w:rPr>
        <w:t xml:space="preserve"> </w:t>
      </w:r>
      <w:proofErr w:type="spellStart"/>
      <w:r>
        <w:rPr>
          <w:b/>
          <w:bCs/>
        </w:rPr>
        <w:t>AccessibleEU</w:t>
      </w:r>
      <w:proofErr w:type="spellEnd"/>
      <w:r w:rsidR="00283199">
        <w:t xml:space="preserve"> 2022. Det är sannolikt att denna funktion kommer </w:t>
      </w:r>
      <w:r w:rsidR="00B90081">
        <w:t xml:space="preserve">att </w:t>
      </w:r>
      <w:r w:rsidR="00283199">
        <w:t>bidra till kunskap och stöd för genomförande av tillgänglighetslagen på den inre marknaden.</w:t>
      </w:r>
      <w:r w:rsidR="009C4611">
        <w:t xml:space="preserve"> </w:t>
      </w:r>
      <w:r w:rsidR="00C40702">
        <w:t xml:space="preserve">För att inte skapa hinder på marknaden är det förstås viktigt att använda samma standarder och stöd för alla medlemsländer. </w:t>
      </w:r>
    </w:p>
    <w:p w14:paraId="493FF5EE" w14:textId="35CA841A" w:rsidR="00E81B44" w:rsidRDefault="00E81B44" w:rsidP="000E1D7B"/>
    <w:p w14:paraId="274D7115" w14:textId="6C5931D8" w:rsidR="00E81B44" w:rsidRDefault="00E81B44" w:rsidP="00E81B44">
      <w:r w:rsidRPr="000043AF">
        <w:rPr>
          <w:b/>
          <w:bCs/>
        </w:rPr>
        <w:t>Vi föreslår att EN17161 Tillgänglighet genom universell utformning</w:t>
      </w:r>
      <w:r w:rsidR="00977D4D">
        <w:rPr>
          <w:rStyle w:val="Fotnotsreferens"/>
          <w:b/>
          <w:bCs/>
        </w:rPr>
        <w:footnoteReference w:id="12"/>
      </w:r>
      <w:r w:rsidRPr="000043AF">
        <w:rPr>
          <w:b/>
          <w:bCs/>
        </w:rPr>
        <w:t xml:space="preserve"> utgör en gemensam grund för svenska myndigheter i genomförande av den svenska funktionshinderpolitiska strategin</w:t>
      </w:r>
      <w:r w:rsidRPr="00093E6C">
        <w:t xml:space="preserve">. </w:t>
      </w:r>
      <w:r>
        <w:t xml:space="preserve">Det behövs en samsyn för de olika begreppen för att underlätta samarbete i en fråga om tillgänglighet som är en tvärsektoriell fråga. Standarden är också framtagen </w:t>
      </w:r>
      <w:r w:rsidR="00460029">
        <w:t xml:space="preserve">bland annat </w:t>
      </w:r>
      <w:r>
        <w:t xml:space="preserve">för att </w:t>
      </w:r>
      <w:r w:rsidR="00460029">
        <w:t xml:space="preserve">kunna </w:t>
      </w:r>
      <w:r w:rsidR="004D430C">
        <w:t xml:space="preserve">sätta </w:t>
      </w:r>
      <w:r w:rsidR="00460029">
        <w:t xml:space="preserve">tilldelningskriterier </w:t>
      </w:r>
      <w:r w:rsidR="00415AF3">
        <w:t>(</w:t>
      </w:r>
      <w:r>
        <w:t>bör-krav</w:t>
      </w:r>
      <w:r w:rsidR="00415AF3">
        <w:t>)</w:t>
      </w:r>
      <w:r>
        <w:t xml:space="preserve"> </w:t>
      </w:r>
      <w:r w:rsidR="00415AF3">
        <w:t xml:space="preserve">för att kvalificera </w:t>
      </w:r>
      <w:r>
        <w:t xml:space="preserve">leverantörer i upphandling. </w:t>
      </w:r>
      <w:r w:rsidR="00415AF3">
        <w:t>Att ha EN 17161 som gemensam grund</w:t>
      </w:r>
      <w:r>
        <w:t xml:space="preserve"> kan bidra till främjande och att stärka genomförande av lagen.</w:t>
      </w:r>
    </w:p>
    <w:p w14:paraId="141059BC" w14:textId="7F9E8C28" w:rsidR="00C40702" w:rsidRDefault="00C40702" w:rsidP="000E1D7B"/>
    <w:p w14:paraId="0073C529" w14:textId="39D562F9" w:rsidR="007678AC" w:rsidRDefault="00AA1495" w:rsidP="007678AC">
      <w:pPr>
        <w:pStyle w:val="Rubrik3"/>
      </w:pPr>
      <w:r>
        <w:t>Viktigt att s</w:t>
      </w:r>
      <w:r w:rsidR="007678AC">
        <w:t>kilj</w:t>
      </w:r>
      <w:r>
        <w:t>a</w:t>
      </w:r>
      <w:r w:rsidR="007678AC">
        <w:t xml:space="preserve"> mellan tillsyn och främjande</w:t>
      </w:r>
    </w:p>
    <w:p w14:paraId="45DEAAE0" w14:textId="5FE44089" w:rsidR="00774EB6" w:rsidRPr="00775423" w:rsidRDefault="00C40702" w:rsidP="000E1D7B">
      <w:r w:rsidRPr="00277DCB">
        <w:rPr>
          <w:b/>
          <w:bCs/>
        </w:rPr>
        <w:t xml:space="preserve">Funktionsrätt Sverige </w:t>
      </w:r>
      <w:r w:rsidR="00F94041">
        <w:rPr>
          <w:b/>
          <w:bCs/>
        </w:rPr>
        <w:t xml:space="preserve">anser att </w:t>
      </w:r>
      <w:r w:rsidR="0073251B">
        <w:rPr>
          <w:b/>
          <w:bCs/>
        </w:rPr>
        <w:t>det finns fara i att blanda rollen som tillsyns</w:t>
      </w:r>
      <w:r w:rsidR="00F94041">
        <w:rPr>
          <w:b/>
          <w:bCs/>
        </w:rPr>
        <w:t>myndighet</w:t>
      </w:r>
      <w:r w:rsidR="0073251B">
        <w:rPr>
          <w:b/>
          <w:bCs/>
        </w:rPr>
        <w:t xml:space="preserve"> med f</w:t>
      </w:r>
      <w:r w:rsidR="00F94041">
        <w:rPr>
          <w:b/>
          <w:bCs/>
        </w:rPr>
        <w:t>rämjande (16.</w:t>
      </w:r>
      <w:r w:rsidR="00093E6C">
        <w:rPr>
          <w:b/>
          <w:bCs/>
        </w:rPr>
        <w:t>5 och 16.6</w:t>
      </w:r>
      <w:r w:rsidR="00F94041">
        <w:rPr>
          <w:b/>
          <w:bCs/>
        </w:rPr>
        <w:t>).</w:t>
      </w:r>
      <w:r w:rsidR="00E81B44">
        <w:rPr>
          <w:b/>
          <w:bCs/>
        </w:rPr>
        <w:t xml:space="preserve"> Främjande kan </w:t>
      </w:r>
      <w:r w:rsidR="00D037A6">
        <w:rPr>
          <w:b/>
          <w:bCs/>
        </w:rPr>
        <w:t>enligt strategin</w:t>
      </w:r>
      <w:r w:rsidR="00E81B44">
        <w:rPr>
          <w:b/>
          <w:bCs/>
        </w:rPr>
        <w:t xml:space="preserve"> ovan stärkas av flera.</w:t>
      </w:r>
      <w:r w:rsidR="00F94041">
        <w:rPr>
          <w:b/>
          <w:bCs/>
        </w:rPr>
        <w:t xml:space="preserve"> </w:t>
      </w:r>
      <w:r w:rsidR="008B6C2C" w:rsidRPr="00D87125">
        <w:rPr>
          <w:b/>
          <w:bCs/>
        </w:rPr>
        <w:t>Vi avstyrker u</w:t>
      </w:r>
      <w:r w:rsidR="00185D95" w:rsidRPr="00D87125">
        <w:rPr>
          <w:b/>
          <w:bCs/>
        </w:rPr>
        <w:t>tredningen</w:t>
      </w:r>
      <w:r w:rsidR="008B6C2C" w:rsidRPr="00D87125">
        <w:rPr>
          <w:b/>
          <w:bCs/>
        </w:rPr>
        <w:t>s</w:t>
      </w:r>
      <w:r w:rsidR="00185D95" w:rsidRPr="00D87125">
        <w:rPr>
          <w:b/>
          <w:bCs/>
        </w:rPr>
        <w:t xml:space="preserve"> förslag i förordningen</w:t>
      </w:r>
      <w:r w:rsidR="00422DF0" w:rsidRPr="00D87125">
        <w:rPr>
          <w:b/>
          <w:bCs/>
        </w:rPr>
        <w:t xml:space="preserve"> (§6) att </w:t>
      </w:r>
      <w:r w:rsidR="00185D95" w:rsidRPr="00D87125">
        <w:rPr>
          <w:b/>
          <w:bCs/>
        </w:rPr>
        <w:t>Post- och telestyrelsen ska utforma och tillhandahålla verktyg för att ekonomiska aktörer</w:t>
      </w:r>
      <w:r w:rsidR="00185D95">
        <w:t xml:space="preserve"> ska kunna göra vederbörliga skattningar av de uppskattade fördelarna för personer med funktionsnedsättning</w:t>
      </w:r>
      <w:r w:rsidR="007D7B51">
        <w:t xml:space="preserve">. </w:t>
      </w:r>
      <w:r w:rsidR="002F49F9">
        <w:t xml:space="preserve">Det finns inte med i direktivet, och </w:t>
      </w:r>
      <w:r w:rsidR="00775423">
        <w:t>försvårar regelefterlevnad</w:t>
      </w:r>
      <w:r w:rsidR="00D55017">
        <w:t xml:space="preserve"> och riskerar olikheter på den inre marknaden</w:t>
      </w:r>
      <w:r w:rsidR="00775423">
        <w:t>. D</w:t>
      </w:r>
      <w:r w:rsidR="002F49F9">
        <w:t xml:space="preserve">et </w:t>
      </w:r>
      <w:r w:rsidR="00775423">
        <w:t xml:space="preserve">kan </w:t>
      </w:r>
      <w:r w:rsidR="002F49F9">
        <w:t xml:space="preserve">komma </w:t>
      </w:r>
      <w:r w:rsidR="004574C9">
        <w:t xml:space="preserve">delegerade akter som rör </w:t>
      </w:r>
      <w:r w:rsidR="004574C9">
        <w:lastRenderedPageBreak/>
        <w:t xml:space="preserve">oproportionerligt stor börda. </w:t>
      </w:r>
      <w:r w:rsidR="00775423" w:rsidRPr="00775423">
        <w:t xml:space="preserve">I </w:t>
      </w:r>
      <w:r w:rsidR="00167807">
        <w:t>Norge</w:t>
      </w:r>
      <w:r w:rsidR="00DF027E">
        <w:t xml:space="preserve"> och USA</w:t>
      </w:r>
      <w:r w:rsidR="000935EE">
        <w:rPr>
          <w:rStyle w:val="Fotnotsreferens"/>
        </w:rPr>
        <w:footnoteReference w:id="13"/>
      </w:r>
      <w:r w:rsidR="00167807">
        <w:t xml:space="preserve"> </w:t>
      </w:r>
      <w:r w:rsidR="00775423" w:rsidRPr="00775423">
        <w:t xml:space="preserve">som </w:t>
      </w:r>
      <w:r w:rsidR="00167807">
        <w:t xml:space="preserve">redan har lagstiftning </w:t>
      </w:r>
      <w:r w:rsidR="00775423" w:rsidRPr="00775423">
        <w:t xml:space="preserve">har </w:t>
      </w:r>
      <w:r w:rsidR="00167807">
        <w:t>sanktioner</w:t>
      </w:r>
      <w:r w:rsidR="00DF027E">
        <w:t xml:space="preserve"> varit </w:t>
      </w:r>
      <w:r w:rsidR="00900690">
        <w:t xml:space="preserve">en </w:t>
      </w:r>
      <w:r w:rsidR="00DF027E">
        <w:t>framgång</w:t>
      </w:r>
      <w:r w:rsidR="00775423" w:rsidRPr="00775423">
        <w:t xml:space="preserve"> för regelefterlevnad.</w:t>
      </w:r>
    </w:p>
    <w:p w14:paraId="72F2F69E" w14:textId="77777777" w:rsidR="00774EB6" w:rsidRDefault="00774EB6" w:rsidP="000E1D7B">
      <w:pPr>
        <w:rPr>
          <w:b/>
          <w:bCs/>
        </w:rPr>
      </w:pPr>
    </w:p>
    <w:p w14:paraId="55279054" w14:textId="64627535" w:rsidR="001D5863" w:rsidRDefault="00407057" w:rsidP="000E1D7B">
      <w:r>
        <w:t>Vi</w:t>
      </w:r>
      <w:r w:rsidR="00A1325A">
        <w:t xml:space="preserve"> </w:t>
      </w:r>
      <w:r w:rsidR="004F48A1">
        <w:t xml:space="preserve">har inga synpunkter på PTS </w:t>
      </w:r>
      <w:r>
        <w:t>som</w:t>
      </w:r>
      <w:r w:rsidR="004F48A1">
        <w:t xml:space="preserve"> marknadskontrollmyndighet (16.3.2)</w:t>
      </w:r>
      <w:r w:rsidR="000B7BC4">
        <w:t xml:space="preserve">. När det gäller tillsynsansvar </w:t>
      </w:r>
      <w:r w:rsidR="001D5863">
        <w:t xml:space="preserve">i övrigt </w:t>
      </w:r>
      <w:r w:rsidR="004816DF">
        <w:t xml:space="preserve">(16.3.4) </w:t>
      </w:r>
      <w:r w:rsidR="006176F4">
        <w:t>tillstyrker</w:t>
      </w:r>
      <w:r w:rsidR="001D5863">
        <w:t xml:space="preserve"> vi behov av samordning</w:t>
      </w:r>
      <w:r w:rsidR="00690D03">
        <w:t xml:space="preserve">. </w:t>
      </w:r>
      <w:r w:rsidR="006176F4">
        <w:t>Men s</w:t>
      </w:r>
      <w:r w:rsidR="00415AF3">
        <w:t xml:space="preserve">amordningsansvar </w:t>
      </w:r>
      <w:r w:rsidR="001D5863">
        <w:t xml:space="preserve">ska </w:t>
      </w:r>
      <w:r w:rsidR="00415AF3">
        <w:t xml:space="preserve">inte </w:t>
      </w:r>
      <w:r w:rsidR="001D5863">
        <w:t>ligga på Myndigheten för Delaktigh</w:t>
      </w:r>
      <w:r w:rsidR="0013135A">
        <w:t>et. MFD har bidragit till att arbetet med tillgänglighet nästan helt avstannat</w:t>
      </w:r>
      <w:r w:rsidR="00554B84">
        <w:t>, genom att försämra uppföljning av tillgänglighet</w:t>
      </w:r>
      <w:r w:rsidR="004051BC">
        <w:t xml:space="preserve">. </w:t>
      </w:r>
      <w:r w:rsidR="00AD3AFD">
        <w:t xml:space="preserve">De kräver endast redovisning av att det finns planer men inte vilka åtgärder som faktiskt har vidtagits och som resulterat i förbättrad tillgänglighet. </w:t>
      </w:r>
      <w:r w:rsidR="003D5365">
        <w:t>Tillgängli</w:t>
      </w:r>
      <w:r w:rsidR="00DE7EF8">
        <w:t>ghet stannar vid</w:t>
      </w:r>
      <w:r w:rsidR="001F18F2">
        <w:t xml:space="preserve"> </w:t>
      </w:r>
      <w:r w:rsidR="00900727">
        <w:t>”fagert tal”</w:t>
      </w:r>
      <w:r w:rsidR="00415AF3">
        <w:t xml:space="preserve"> </w:t>
      </w:r>
      <w:r w:rsidR="00EA1476">
        <w:t xml:space="preserve">när </w:t>
      </w:r>
      <w:r w:rsidR="00415AF3">
        <w:t xml:space="preserve">det finns </w:t>
      </w:r>
      <w:r w:rsidR="00EA1476">
        <w:t>så</w:t>
      </w:r>
      <w:r w:rsidR="00415AF3">
        <w:t xml:space="preserve"> lite redovis</w:t>
      </w:r>
      <w:r w:rsidR="00DE7EF8">
        <w:t>at</w:t>
      </w:r>
      <w:r w:rsidR="00415AF3">
        <w:t xml:space="preserve"> om vad som </w:t>
      </w:r>
      <w:r w:rsidR="001F18F2">
        <w:t>faktiskt le</w:t>
      </w:r>
      <w:r w:rsidR="00415AF3">
        <w:t>tt</w:t>
      </w:r>
      <w:r w:rsidR="001F18F2">
        <w:t xml:space="preserve"> till att ta bort funktionshinder. </w:t>
      </w:r>
    </w:p>
    <w:p w14:paraId="6614EB54" w14:textId="4B94EB4D" w:rsidR="00D5169B" w:rsidRDefault="00D5169B" w:rsidP="000E1D7B"/>
    <w:p w14:paraId="2B13D77E" w14:textId="58AF748B" w:rsidR="00D5169B" w:rsidRDefault="00F96AB4" w:rsidP="000E1D7B">
      <w:r>
        <w:t xml:space="preserve">Vi har även </w:t>
      </w:r>
      <w:r w:rsidR="000A7119">
        <w:t>i en skrivelse</w:t>
      </w:r>
      <w:r w:rsidR="00B55CC2">
        <w:rPr>
          <w:rStyle w:val="Fotnotsreferens"/>
        </w:rPr>
        <w:footnoteReference w:id="14"/>
      </w:r>
      <w:r>
        <w:t xml:space="preserve"> </w:t>
      </w:r>
      <w:r w:rsidR="000A7119">
        <w:t xml:space="preserve">till regeringen kritiserat </w:t>
      </w:r>
      <w:r>
        <w:t xml:space="preserve">att </w:t>
      </w:r>
      <w:r w:rsidR="00D5169B">
        <w:t>MFD tagit</w:t>
      </w:r>
      <w:r w:rsidR="00E04D80">
        <w:t xml:space="preserve"> bort vägledningen Riv hinder med konkreta verktyg för tillgänglighet, utan förklaring</w:t>
      </w:r>
      <w:r w:rsidR="000A7119">
        <w:t xml:space="preserve">, vilket </w:t>
      </w:r>
      <w:r>
        <w:t>bidragit till sämre skydd mot diskriminering</w:t>
      </w:r>
      <w:r w:rsidR="00B55CC2">
        <w:t>.</w:t>
      </w:r>
    </w:p>
    <w:p w14:paraId="1BADA3B7" w14:textId="6F6E6C9C" w:rsidR="00571D0E" w:rsidRDefault="00571D0E" w:rsidP="000E1D7B"/>
    <w:p w14:paraId="7A49814C" w14:textId="4C734CC8" w:rsidR="00571D0E" w:rsidRDefault="00571D0E" w:rsidP="000E1D7B">
      <w:r>
        <w:t xml:space="preserve">Vi tillstyrker </w:t>
      </w:r>
      <w:r w:rsidR="00DD62D9">
        <w:t xml:space="preserve">förslag om tillsyn på Myndigheten för press, radio och tv (16.3.6) och MTM (16.3.7). </w:t>
      </w:r>
      <w:r w:rsidR="00E63AB3">
        <w:t>Vi</w:t>
      </w:r>
      <w:r w:rsidR="00DC69E4">
        <w:t xml:space="preserve"> förstår inte hur utredningen tänker sig uppdelning av ansvar som gäller transporter.</w:t>
      </w:r>
      <w:r w:rsidR="00BD245A">
        <w:t xml:space="preserve"> </w:t>
      </w:r>
      <w:r w:rsidR="00D00CD6">
        <w:t xml:space="preserve">Tillsyn </w:t>
      </w:r>
      <w:r w:rsidR="00BD245A">
        <w:t xml:space="preserve">som bedrivs av </w:t>
      </w:r>
      <w:r w:rsidR="00E63AB3">
        <w:t>Transportstyrelse</w:t>
      </w:r>
      <w:r w:rsidR="00A00C9E">
        <w:t xml:space="preserve">n, som rör </w:t>
      </w:r>
      <w:r w:rsidR="00837A5C">
        <w:t>krav på</w:t>
      </w:r>
      <w:r w:rsidR="00BD245A">
        <w:t xml:space="preserve"> utbildning av chaufförer</w:t>
      </w:r>
      <w:r w:rsidR="00D00CD6">
        <w:t>, är svår att hitt</w:t>
      </w:r>
      <w:r w:rsidR="00922104">
        <w:t>a, och d</w:t>
      </w:r>
      <w:r w:rsidR="00A00C9E">
        <w:t xml:space="preserve">et finns </w:t>
      </w:r>
      <w:r w:rsidR="00BD245A">
        <w:t>diskrimineringsfall</w:t>
      </w:r>
      <w:r w:rsidR="00215B69">
        <w:rPr>
          <w:rStyle w:val="Fotnotsreferens"/>
        </w:rPr>
        <w:footnoteReference w:id="15"/>
      </w:r>
      <w:r w:rsidR="00A00C9E">
        <w:t xml:space="preserve"> som visar på brister</w:t>
      </w:r>
      <w:r w:rsidR="00BD245A">
        <w:t xml:space="preserve">. Vi </w:t>
      </w:r>
      <w:r w:rsidR="00E63AB3">
        <w:t>ser hellre att ansvaret samlas på Konsumentverket</w:t>
      </w:r>
      <w:r w:rsidR="00DC69E4">
        <w:t xml:space="preserve"> eftersom det rör information riktat till resenärer</w:t>
      </w:r>
      <w:r w:rsidR="00FC68F4">
        <w:t xml:space="preserve">. </w:t>
      </w:r>
      <w:r w:rsidR="00E63AB3">
        <w:t>(16.3.8)</w:t>
      </w:r>
      <w:r w:rsidR="00D60969">
        <w:t xml:space="preserve"> </w:t>
      </w:r>
    </w:p>
    <w:p w14:paraId="2E9D24CC" w14:textId="5D996E44" w:rsidR="00330D55" w:rsidRDefault="00330D55" w:rsidP="000E1D7B"/>
    <w:p w14:paraId="072723FA" w14:textId="26541523" w:rsidR="00584901" w:rsidRDefault="004D430C" w:rsidP="000E1D7B">
      <w:r>
        <w:t xml:space="preserve">Vi tillstyrker </w:t>
      </w:r>
      <w:r w:rsidR="00594360">
        <w:t>att</w:t>
      </w:r>
      <w:r w:rsidR="00444300">
        <w:t xml:space="preserve"> </w:t>
      </w:r>
      <w:r w:rsidR="00F46DA9">
        <w:t>DIGG</w:t>
      </w:r>
      <w:r w:rsidR="00444300">
        <w:t xml:space="preserve"> får föreskriftsrätt</w:t>
      </w:r>
      <w:r w:rsidR="009D15E9">
        <w:t xml:space="preserve"> (16.3.9)</w:t>
      </w:r>
      <w:r w:rsidR="00F46DA9">
        <w:t>, men inte tillsyn</w:t>
      </w:r>
      <w:r w:rsidR="001E1ACE">
        <w:t>.</w:t>
      </w:r>
      <w:r w:rsidR="00F46DA9">
        <w:t xml:space="preserve"> </w:t>
      </w:r>
      <w:r w:rsidR="001E1ACE">
        <w:t>D</w:t>
      </w:r>
      <w:r w:rsidR="00330D55">
        <w:t xml:space="preserve">et finns en poäng i samma regler i offentlig som privat sektor för </w:t>
      </w:r>
      <w:r w:rsidR="00F46DA9">
        <w:t>tillgänglig webb</w:t>
      </w:r>
      <w:r>
        <w:t xml:space="preserve">. Men </w:t>
      </w:r>
      <w:r w:rsidR="00625A23">
        <w:t xml:space="preserve">det </w:t>
      </w:r>
      <w:r>
        <w:t xml:space="preserve">krävs </w:t>
      </w:r>
      <w:r w:rsidR="00625A23">
        <w:t xml:space="preserve">mer </w:t>
      </w:r>
      <w:r w:rsidR="00ED7DAA">
        <w:t>föreskriftsrätt och tillsyn</w:t>
      </w:r>
      <w:r w:rsidR="00444300">
        <w:t xml:space="preserve"> </w:t>
      </w:r>
      <w:r w:rsidR="00625A23">
        <w:t xml:space="preserve">för e-handel, bank- och finansiella tjänster, </w:t>
      </w:r>
      <w:r w:rsidR="00ED7DAA">
        <w:t>samt</w:t>
      </w:r>
      <w:r w:rsidR="00625A23">
        <w:t xml:space="preserve"> </w:t>
      </w:r>
      <w:r w:rsidR="004F4C3E">
        <w:t xml:space="preserve">för </w:t>
      </w:r>
      <w:r w:rsidR="00625A23">
        <w:t>krav som rör manualer och kundtjänst</w:t>
      </w:r>
      <w:r w:rsidR="001E3045">
        <w:t xml:space="preserve">. Det </w:t>
      </w:r>
      <w:r w:rsidR="00625A23">
        <w:t>skulle lämpa sig bättre för Konsumentverket.</w:t>
      </w:r>
    </w:p>
    <w:p w14:paraId="4A289958" w14:textId="77777777" w:rsidR="008F5755" w:rsidRDefault="008F5755" w:rsidP="000E1D7B"/>
    <w:p w14:paraId="5418CBC6" w14:textId="26CB1C6B" w:rsidR="00A823C3" w:rsidRDefault="001C5C98" w:rsidP="000E1D7B">
      <w:r>
        <w:t>Varken PTS eller MFD har förstått åtagande</w:t>
      </w:r>
      <w:r w:rsidR="00E907C3">
        <w:t>na</w:t>
      </w:r>
      <w:r>
        <w:t xml:space="preserve"> om aktiv involvering i beslut </w:t>
      </w:r>
      <w:r w:rsidR="000F5AB7">
        <w:t>i enlighet med</w:t>
      </w:r>
      <w:r>
        <w:t xml:space="preserve"> konventions artikel 4.3 och allmän kommentar 7. Därför ser vi att en </w:t>
      </w:r>
      <w:r w:rsidRPr="001050E9">
        <w:rPr>
          <w:b/>
          <w:bCs/>
        </w:rPr>
        <w:t>klagomålsportal</w:t>
      </w:r>
      <w:r>
        <w:t xml:space="preserve"> och en arbetsgrupp för att granska </w:t>
      </w:r>
      <w:r>
        <w:lastRenderedPageBreak/>
        <w:t>hur tillsynen fungerar</w:t>
      </w:r>
      <w:r w:rsidR="00A823C3">
        <w:t xml:space="preserve"> bör placeras på en annan myndighet, förslagsvis Konsumentverket. Men uppdraget skulle givetvis kräva resurser.</w:t>
      </w:r>
    </w:p>
    <w:p w14:paraId="4F628430" w14:textId="5D09B4BD" w:rsidR="001C5382" w:rsidRDefault="001C5382" w:rsidP="006D09BB">
      <w:pPr>
        <w:rPr>
          <w:rStyle w:val="Rubrik3Char"/>
        </w:rPr>
      </w:pPr>
    </w:p>
    <w:p w14:paraId="40CBE69D" w14:textId="712A4BB9" w:rsidR="006D09BB" w:rsidRDefault="006D09BB" w:rsidP="006D09BB">
      <w:pPr>
        <w:pStyle w:val="Rubrik2"/>
      </w:pPr>
      <w:r>
        <w:t>Kapitel 17 Regelefterlevnad</w:t>
      </w:r>
    </w:p>
    <w:p w14:paraId="1A09B8D4" w14:textId="1211FCB5" w:rsidR="00F176EE" w:rsidRDefault="00990AED" w:rsidP="00B77208">
      <w:pPr>
        <w:rPr>
          <w:b/>
          <w:bCs/>
        </w:rPr>
      </w:pPr>
      <w:r w:rsidRPr="008D2391">
        <w:rPr>
          <w:b/>
          <w:bCs/>
        </w:rPr>
        <w:t xml:space="preserve">Funktionsrätt Sverige avstyrker </w:t>
      </w:r>
      <w:r w:rsidR="008D4363" w:rsidRPr="008D2391">
        <w:rPr>
          <w:b/>
          <w:bCs/>
        </w:rPr>
        <w:t>bedömningen</w:t>
      </w:r>
      <w:r w:rsidR="0088784C" w:rsidRPr="008D2391">
        <w:rPr>
          <w:b/>
          <w:bCs/>
        </w:rPr>
        <w:t xml:space="preserve"> (17.5.1</w:t>
      </w:r>
      <w:r w:rsidR="0079499B" w:rsidRPr="008D2391">
        <w:rPr>
          <w:b/>
          <w:bCs/>
        </w:rPr>
        <w:t>)</w:t>
      </w:r>
      <w:r w:rsidR="008D4363" w:rsidRPr="008D2391">
        <w:rPr>
          <w:b/>
          <w:bCs/>
        </w:rPr>
        <w:t xml:space="preserve"> att </w:t>
      </w:r>
      <w:r w:rsidR="002747EE" w:rsidRPr="008D2391">
        <w:rPr>
          <w:b/>
          <w:bCs/>
        </w:rPr>
        <w:t xml:space="preserve">artikel 29 inte kräver </w:t>
      </w:r>
      <w:r w:rsidR="008D2391" w:rsidRPr="008D2391">
        <w:rPr>
          <w:b/>
          <w:bCs/>
        </w:rPr>
        <w:t>författningsändringar</w:t>
      </w:r>
      <w:r w:rsidR="007252CA">
        <w:rPr>
          <w:b/>
          <w:bCs/>
        </w:rPr>
        <w:t xml:space="preserve">. </w:t>
      </w:r>
      <w:r w:rsidR="00856653">
        <w:rPr>
          <w:b/>
          <w:bCs/>
        </w:rPr>
        <w:t xml:space="preserve">Det är </w:t>
      </w:r>
      <w:r w:rsidR="00FD44F5">
        <w:rPr>
          <w:b/>
          <w:bCs/>
        </w:rPr>
        <w:t xml:space="preserve">anmärkningsvärt att </w:t>
      </w:r>
      <w:r w:rsidR="00856653">
        <w:rPr>
          <w:b/>
          <w:bCs/>
        </w:rPr>
        <w:t>u</w:t>
      </w:r>
      <w:r w:rsidR="00115816">
        <w:rPr>
          <w:b/>
          <w:bCs/>
        </w:rPr>
        <w:t>tredninge</w:t>
      </w:r>
      <w:r w:rsidR="009A0C59">
        <w:rPr>
          <w:b/>
          <w:bCs/>
        </w:rPr>
        <w:t>n</w:t>
      </w:r>
      <w:r w:rsidR="00447CAF">
        <w:rPr>
          <w:b/>
          <w:bCs/>
        </w:rPr>
        <w:t>,</w:t>
      </w:r>
      <w:r w:rsidR="00115816">
        <w:rPr>
          <w:b/>
          <w:bCs/>
        </w:rPr>
        <w:t xml:space="preserve"> trots den information de fått</w:t>
      </w:r>
      <w:r w:rsidR="00CB0FB4">
        <w:rPr>
          <w:b/>
          <w:bCs/>
        </w:rPr>
        <w:t xml:space="preserve"> från referensgruppen</w:t>
      </w:r>
      <w:r w:rsidR="00115816">
        <w:rPr>
          <w:b/>
          <w:bCs/>
        </w:rPr>
        <w:t xml:space="preserve">, </w:t>
      </w:r>
      <w:r w:rsidR="009A0C59">
        <w:rPr>
          <w:b/>
          <w:bCs/>
        </w:rPr>
        <w:t>anser a</w:t>
      </w:r>
      <w:r w:rsidR="009B4E3C">
        <w:rPr>
          <w:b/>
          <w:bCs/>
        </w:rPr>
        <w:t>tt</w:t>
      </w:r>
      <w:r w:rsidR="00D83886">
        <w:rPr>
          <w:b/>
          <w:bCs/>
        </w:rPr>
        <w:t xml:space="preserve"> </w:t>
      </w:r>
      <w:r w:rsidR="00ED2703">
        <w:rPr>
          <w:b/>
          <w:bCs/>
        </w:rPr>
        <w:t xml:space="preserve">den svenska förvaltningsmodellen </w:t>
      </w:r>
      <w:r w:rsidR="00CE174F">
        <w:rPr>
          <w:b/>
          <w:bCs/>
        </w:rPr>
        <w:t>som överlåter till</w:t>
      </w:r>
      <w:r w:rsidR="00ED2703">
        <w:rPr>
          <w:b/>
          <w:bCs/>
        </w:rPr>
        <w:t xml:space="preserve"> myndigheter</w:t>
      </w:r>
      <w:r w:rsidR="00CE174F">
        <w:rPr>
          <w:b/>
          <w:bCs/>
        </w:rPr>
        <w:t xml:space="preserve"> </w:t>
      </w:r>
      <w:r w:rsidR="00D94927">
        <w:rPr>
          <w:b/>
          <w:bCs/>
        </w:rPr>
        <w:t xml:space="preserve">att avgöra </w:t>
      </w:r>
      <w:r w:rsidR="00D94927" w:rsidRPr="00D94927">
        <w:rPr>
          <w:b/>
          <w:bCs/>
        </w:rPr>
        <w:t>granskningsförfarande</w:t>
      </w:r>
      <w:r w:rsidR="00D94927">
        <w:rPr>
          <w:b/>
          <w:bCs/>
        </w:rPr>
        <w:t xml:space="preserve"> </w:t>
      </w:r>
      <w:r w:rsidR="003D2CC6">
        <w:rPr>
          <w:b/>
          <w:bCs/>
        </w:rPr>
        <w:t xml:space="preserve">(17.2.1) är </w:t>
      </w:r>
      <w:r w:rsidR="00447CAF">
        <w:rPr>
          <w:b/>
          <w:bCs/>
        </w:rPr>
        <w:t>tillräcklig</w:t>
      </w:r>
      <w:r w:rsidR="00CB0FB4">
        <w:rPr>
          <w:b/>
          <w:bCs/>
        </w:rPr>
        <w:t xml:space="preserve"> för att </w:t>
      </w:r>
      <w:r w:rsidR="00E907C3">
        <w:rPr>
          <w:b/>
          <w:bCs/>
        </w:rPr>
        <w:t xml:space="preserve">säkerställa </w:t>
      </w:r>
      <w:r w:rsidR="00806B44">
        <w:rPr>
          <w:b/>
          <w:bCs/>
        </w:rPr>
        <w:t xml:space="preserve">de rättigheter som direktivet </w:t>
      </w:r>
      <w:r w:rsidR="00E907C3">
        <w:rPr>
          <w:b/>
          <w:bCs/>
        </w:rPr>
        <w:t>reglerar</w:t>
      </w:r>
      <w:r w:rsidR="0041265B">
        <w:rPr>
          <w:b/>
          <w:bCs/>
        </w:rPr>
        <w:t>.</w:t>
      </w:r>
    </w:p>
    <w:p w14:paraId="7CE6A88B" w14:textId="77777777" w:rsidR="00F176EE" w:rsidRDefault="00F176EE" w:rsidP="00B77208">
      <w:pPr>
        <w:rPr>
          <w:b/>
          <w:bCs/>
        </w:rPr>
      </w:pPr>
    </w:p>
    <w:p w14:paraId="3FEF9060" w14:textId="77777777" w:rsidR="00B53105" w:rsidRDefault="00E142FB" w:rsidP="00B77208">
      <w:r w:rsidRPr="00E142FB">
        <w:t>Utredningen har e</w:t>
      </w:r>
      <w:r w:rsidR="00E62A39" w:rsidRPr="00E142FB">
        <w:t xml:space="preserve">n vag idé om en </w:t>
      </w:r>
      <w:r w:rsidR="00FD5051" w:rsidRPr="00E142FB">
        <w:t xml:space="preserve">gemensam klagomålsportal </w:t>
      </w:r>
      <w:r w:rsidR="00E62A39" w:rsidRPr="00E142FB">
        <w:t>men inget skarpt försla</w:t>
      </w:r>
      <w:r>
        <w:t xml:space="preserve">g </w:t>
      </w:r>
      <w:r w:rsidR="00B53105">
        <w:t>trots</w:t>
      </w:r>
      <w:r>
        <w:t xml:space="preserve"> att Konsumentverket redan har uppdrag som </w:t>
      </w:r>
      <w:r w:rsidR="00B53105">
        <w:t>rör klagomål inom Europa, e-handel och en ombudsman.</w:t>
      </w:r>
    </w:p>
    <w:p w14:paraId="4F167DC4" w14:textId="77777777" w:rsidR="009F0AE8" w:rsidRPr="00E142FB" w:rsidRDefault="009F0AE8" w:rsidP="00B77208"/>
    <w:p w14:paraId="7F6658AE" w14:textId="3191FFC8" w:rsidR="008B4395" w:rsidRPr="008B4395" w:rsidRDefault="008B4395" w:rsidP="00B77208">
      <w:r w:rsidRPr="008B4395">
        <w:t xml:space="preserve">Vi anser inte att det räcker </w:t>
      </w:r>
      <w:r w:rsidR="007603E7">
        <w:t>att</w:t>
      </w:r>
      <w:r w:rsidRPr="008B4395">
        <w:t xml:space="preserve"> </w:t>
      </w:r>
      <w:r w:rsidR="00F50DFB">
        <w:t>in</w:t>
      </w:r>
      <w:r w:rsidR="00FC4F6C">
        <w:t xml:space="preserve">vänta </w:t>
      </w:r>
      <w:r w:rsidRPr="008B4395">
        <w:t>resultatet av utredningen om genomförande av EU-direktivet om grupptalan till skydd för konsumenters kollektiva intressen (Fi 2021:01)</w:t>
      </w:r>
      <w:r w:rsidR="006370E8">
        <w:t xml:space="preserve">. </w:t>
      </w:r>
      <w:r w:rsidR="006370E8" w:rsidRPr="006370E8">
        <w:rPr>
          <w:b/>
          <w:bCs/>
        </w:rPr>
        <w:t>D</w:t>
      </w:r>
      <w:r w:rsidRPr="007603E7">
        <w:rPr>
          <w:b/>
          <w:bCs/>
        </w:rPr>
        <w:t xml:space="preserve">et </w:t>
      </w:r>
      <w:r w:rsidR="00DB6508" w:rsidRPr="007603E7">
        <w:rPr>
          <w:b/>
          <w:bCs/>
        </w:rPr>
        <w:t>behövs</w:t>
      </w:r>
      <w:r>
        <w:t xml:space="preserve"> </w:t>
      </w:r>
      <w:r w:rsidRPr="00DB6508">
        <w:rPr>
          <w:b/>
          <w:bCs/>
        </w:rPr>
        <w:t>ett tilläggsdirektiv</w:t>
      </w:r>
      <w:r>
        <w:t xml:space="preserve"> </w:t>
      </w:r>
      <w:r w:rsidRPr="00011567">
        <w:rPr>
          <w:b/>
          <w:bCs/>
        </w:rPr>
        <w:t xml:space="preserve">till utredningen </w:t>
      </w:r>
      <w:r w:rsidR="00FC4F6C" w:rsidRPr="00011567">
        <w:rPr>
          <w:b/>
          <w:bCs/>
        </w:rPr>
        <w:t xml:space="preserve">om grupptalan </w:t>
      </w:r>
      <w:r w:rsidR="00DB6508" w:rsidRPr="00011567">
        <w:rPr>
          <w:b/>
          <w:bCs/>
        </w:rPr>
        <w:t xml:space="preserve">kopplat till </w:t>
      </w:r>
      <w:r w:rsidRPr="00011567">
        <w:rPr>
          <w:b/>
          <w:bCs/>
        </w:rPr>
        <w:t>tillgänglighetsdirektivet</w:t>
      </w:r>
      <w:r w:rsidR="007603E7">
        <w:t xml:space="preserve"> (17.5.</w:t>
      </w:r>
      <w:r w:rsidR="0028699D">
        <w:t>3</w:t>
      </w:r>
      <w:r w:rsidR="007603E7">
        <w:t>)</w:t>
      </w:r>
      <w:r>
        <w:t>.</w:t>
      </w:r>
    </w:p>
    <w:p w14:paraId="58E622BB" w14:textId="0FCF4C22" w:rsidR="002C3A40" w:rsidRDefault="002C3A40" w:rsidP="00B77208">
      <w:pPr>
        <w:rPr>
          <w:b/>
          <w:bCs/>
        </w:rPr>
      </w:pPr>
    </w:p>
    <w:p w14:paraId="1EA872EB" w14:textId="0F2E4366" w:rsidR="002C3A40" w:rsidRDefault="002C3A40" w:rsidP="00B77208">
      <w:pPr>
        <w:rPr>
          <w:b/>
          <w:bCs/>
        </w:rPr>
      </w:pPr>
      <w:r>
        <w:rPr>
          <w:b/>
          <w:bCs/>
        </w:rPr>
        <w:t>Vi tillstyrker förslag om sanktioner och viten</w:t>
      </w:r>
      <w:r w:rsidR="008C0C42">
        <w:rPr>
          <w:b/>
          <w:bCs/>
        </w:rPr>
        <w:t xml:space="preserve"> (17.6)</w:t>
      </w:r>
      <w:r>
        <w:rPr>
          <w:b/>
          <w:bCs/>
        </w:rPr>
        <w:t>. Men</w:t>
      </w:r>
      <w:r w:rsidR="007070B2">
        <w:rPr>
          <w:b/>
          <w:bCs/>
        </w:rPr>
        <w:t xml:space="preserve"> </w:t>
      </w:r>
      <w:r w:rsidR="00804C7D">
        <w:rPr>
          <w:b/>
          <w:bCs/>
        </w:rPr>
        <w:t xml:space="preserve">befogenheter om att ta bort produkter från marknaden saknas som sagt, trots att de finns </w:t>
      </w:r>
      <w:r w:rsidR="00E606E8">
        <w:rPr>
          <w:b/>
          <w:bCs/>
        </w:rPr>
        <w:t xml:space="preserve">i </w:t>
      </w:r>
      <w:r w:rsidR="00804C7D">
        <w:rPr>
          <w:b/>
          <w:bCs/>
        </w:rPr>
        <w:t>direktivet (</w:t>
      </w:r>
      <w:r w:rsidR="00E606E8">
        <w:rPr>
          <w:b/>
          <w:bCs/>
        </w:rPr>
        <w:t>artikel 20 och 21</w:t>
      </w:r>
      <w:r w:rsidR="00804C7D">
        <w:rPr>
          <w:b/>
          <w:bCs/>
        </w:rPr>
        <w:t>)</w:t>
      </w:r>
      <w:r w:rsidR="00E606E8">
        <w:rPr>
          <w:b/>
          <w:bCs/>
        </w:rPr>
        <w:t xml:space="preserve">. </w:t>
      </w:r>
      <w:r>
        <w:rPr>
          <w:b/>
          <w:bCs/>
        </w:rPr>
        <w:t xml:space="preserve"> </w:t>
      </w:r>
    </w:p>
    <w:p w14:paraId="4F0BCD65" w14:textId="77777777" w:rsidR="00B16AD2" w:rsidRDefault="00B16AD2" w:rsidP="00B77208">
      <w:pPr>
        <w:rPr>
          <w:b/>
          <w:bCs/>
        </w:rPr>
      </w:pPr>
    </w:p>
    <w:p w14:paraId="528080DD" w14:textId="0B76B013" w:rsidR="003F3FAC" w:rsidRDefault="00A11DC9" w:rsidP="00B77208">
      <w:r w:rsidRPr="00DE4B18">
        <w:t>Såväl Funktionsrätt Sverige som led</w:t>
      </w:r>
      <w:r w:rsidR="00DE4B18" w:rsidRPr="00DE4B18">
        <w:t>amöter i referensgruppen lämnade</w:t>
      </w:r>
      <w:r w:rsidR="00DE4B18">
        <w:rPr>
          <w:b/>
          <w:bCs/>
        </w:rPr>
        <w:t xml:space="preserve"> </w:t>
      </w:r>
      <w:r w:rsidR="00DE4B18" w:rsidRPr="00DE4B18">
        <w:t xml:space="preserve">underlag </w:t>
      </w:r>
      <w:r w:rsidR="00DE4B18">
        <w:t xml:space="preserve">om </w:t>
      </w:r>
      <w:r w:rsidR="00846AC6">
        <w:t xml:space="preserve">stora </w:t>
      </w:r>
      <w:r w:rsidR="00DE4B18">
        <w:t xml:space="preserve">brister i regelefterlevnad av lagstiftning som rör tillgänglighet. Individer och organisationer som representerar </w:t>
      </w:r>
      <w:r w:rsidR="0066480F">
        <w:t xml:space="preserve">personer som möter funktionshinder behöver de verktyg som artikel 29 lyfter för att </w:t>
      </w:r>
      <w:r w:rsidR="00BD145C">
        <w:t>lagen ska efterlevas</w:t>
      </w:r>
      <w:r w:rsidR="00B86B6E">
        <w:t xml:space="preserve"> och att </w:t>
      </w:r>
      <w:r w:rsidR="00415AF3">
        <w:t xml:space="preserve">förutsättningarna för att kunna åtnjuta sina mänskliga </w:t>
      </w:r>
      <w:r w:rsidR="00B86B6E">
        <w:t>rättigheter ska kunna utkrävas.</w:t>
      </w:r>
    </w:p>
    <w:p w14:paraId="73F6B685" w14:textId="77777777" w:rsidR="003F3FAC" w:rsidRPr="003E666F" w:rsidRDefault="003F3FAC" w:rsidP="00B77208"/>
    <w:p w14:paraId="23653481" w14:textId="118DDE90" w:rsidR="00D00489" w:rsidRDefault="00BD145C" w:rsidP="00B77208">
      <w:r>
        <w:t>Medan exempelvis USA</w:t>
      </w:r>
      <w:r w:rsidR="00AB4150">
        <w:t>:s justitiedepartement</w:t>
      </w:r>
      <w:r>
        <w:t xml:space="preserve"> utvecklar </w:t>
      </w:r>
      <w:r w:rsidR="00AB4150">
        <w:t xml:space="preserve">tillgängligheten till </w:t>
      </w:r>
      <w:r>
        <w:t>en</w:t>
      </w:r>
      <w:r w:rsidR="00914CBE">
        <w:t xml:space="preserve"> gemensam</w:t>
      </w:r>
      <w:r>
        <w:t xml:space="preserve"> klagomålsportal</w:t>
      </w:r>
      <w:r w:rsidR="00F7504B">
        <w:rPr>
          <w:rStyle w:val="Fotnotsreferens"/>
        </w:rPr>
        <w:footnoteReference w:id="16"/>
      </w:r>
      <w:r>
        <w:t xml:space="preserve"> för</w:t>
      </w:r>
      <w:r w:rsidR="00AB4150">
        <w:t xml:space="preserve"> brott mot </w:t>
      </w:r>
      <w:r w:rsidR="004D5179">
        <w:t>skyldigheten att överensstämma med tillgänglighetskrav</w:t>
      </w:r>
      <w:r w:rsidR="00AB4150">
        <w:t xml:space="preserve">, är Sverige kvar i ett icke-transparant </w:t>
      </w:r>
      <w:r w:rsidR="00D94C07">
        <w:t xml:space="preserve">och splittrat </w:t>
      </w:r>
      <w:r w:rsidR="00AB4150">
        <w:t>system</w:t>
      </w:r>
      <w:r w:rsidR="00914CBE">
        <w:t>, där</w:t>
      </w:r>
      <w:r w:rsidR="00EF62B5">
        <w:t xml:space="preserve"> det är oklart vart</w:t>
      </w:r>
      <w:r w:rsidR="00914CBE">
        <w:t xml:space="preserve"> </w:t>
      </w:r>
      <w:r w:rsidR="00AB4150">
        <w:t>medborgare</w:t>
      </w:r>
      <w:r w:rsidR="00EF62B5">
        <w:t xml:space="preserve"> </w:t>
      </w:r>
      <w:r w:rsidR="00914CBE">
        <w:t xml:space="preserve">ska vända sig </w:t>
      </w:r>
      <w:r w:rsidR="00093007">
        <w:t>för att</w:t>
      </w:r>
      <w:r w:rsidR="00EF62B5">
        <w:t xml:space="preserve"> </w:t>
      </w:r>
      <w:r w:rsidR="00AB4150">
        <w:t>”tipsa” myndigheter</w:t>
      </w:r>
      <w:r w:rsidR="00D94C07">
        <w:t xml:space="preserve">. Väldigt </w:t>
      </w:r>
      <w:r w:rsidR="00093007">
        <w:t xml:space="preserve">få får </w:t>
      </w:r>
      <w:r w:rsidR="00D94C07">
        <w:t xml:space="preserve">någon </w:t>
      </w:r>
      <w:r w:rsidR="00093007">
        <w:t>återkoppling</w:t>
      </w:r>
      <w:r w:rsidR="00E907C3">
        <w:t>, och det är sällan ärenden inkluderar att rättighetsbärare behandlas som parter</w:t>
      </w:r>
      <w:r w:rsidR="00AB4150">
        <w:t>.</w:t>
      </w:r>
      <w:r w:rsidR="00946CDC">
        <w:t xml:space="preserve"> </w:t>
      </w:r>
    </w:p>
    <w:p w14:paraId="05E04A9B" w14:textId="77777777" w:rsidR="00D00489" w:rsidRDefault="00D00489" w:rsidP="00B77208"/>
    <w:p w14:paraId="29DC3D03" w14:textId="2F244105" w:rsidR="00B86B6E" w:rsidRDefault="00946CDC" w:rsidP="00B77208">
      <w:r>
        <w:lastRenderedPageBreak/>
        <w:t xml:space="preserve">Det som kallas tillgång till rättsväsendet (access to </w:t>
      </w:r>
      <w:proofErr w:type="spellStart"/>
      <w:r>
        <w:t>justice</w:t>
      </w:r>
      <w:proofErr w:type="spellEnd"/>
      <w:r>
        <w:t xml:space="preserve">) är </w:t>
      </w:r>
      <w:r w:rsidR="009A2356">
        <w:t>oerhört eftersatt</w:t>
      </w:r>
      <w:r w:rsidR="00DD71C0">
        <w:t>. P</w:t>
      </w:r>
      <w:r w:rsidR="009A2356">
        <w:t>ersoner som möter funktionshinder</w:t>
      </w:r>
      <w:r w:rsidR="00B86B6E">
        <w:t xml:space="preserve"> har</w:t>
      </w:r>
      <w:r w:rsidR="00DD71C0">
        <w:t xml:space="preserve"> ofta</w:t>
      </w:r>
      <w:r w:rsidR="00B86B6E">
        <w:t xml:space="preserve"> sämre ekonomi och förutsättningar att driva fall i domstol</w:t>
      </w:r>
      <w:r w:rsidR="00DD71C0">
        <w:t xml:space="preserve">. Få vet och kan klaga till JO, som riktar upprepad kritik, </w:t>
      </w:r>
      <w:r w:rsidR="00400232">
        <w:t>utan</w:t>
      </w:r>
      <w:r w:rsidR="00DD71C0">
        <w:t xml:space="preserve"> </w:t>
      </w:r>
      <w:r w:rsidR="00F75D8C">
        <w:t xml:space="preserve">att det leder till </w:t>
      </w:r>
      <w:r w:rsidR="00E907C3">
        <w:t xml:space="preserve">påtaglig </w:t>
      </w:r>
      <w:r w:rsidR="00DD71C0">
        <w:t>effekt</w:t>
      </w:r>
      <w:r w:rsidR="00E907C3">
        <w:t xml:space="preserve"> för att öka tillgängligheten för personer som möter funktionshinder</w:t>
      </w:r>
      <w:r w:rsidR="00A00BD1">
        <w:t>.</w:t>
      </w:r>
    </w:p>
    <w:p w14:paraId="1C1FA2A7" w14:textId="15ABD1CF" w:rsidR="008D449C" w:rsidRDefault="008D449C" w:rsidP="00B77208"/>
    <w:p w14:paraId="6994CEFA" w14:textId="13B5F0EC" w:rsidR="00702054" w:rsidRDefault="00415AF3" w:rsidP="00702054">
      <w:r>
        <w:t>Det behövs ett ansvarstagande på tvärpolitisk nivå för att genomförandet</w:t>
      </w:r>
      <w:r w:rsidR="005F7C5F">
        <w:t xml:space="preserve"> </w:t>
      </w:r>
      <w:r w:rsidR="00F75D8C">
        <w:t xml:space="preserve">av </w:t>
      </w:r>
      <w:r w:rsidR="005F7C5F">
        <w:t>lagen</w:t>
      </w:r>
      <w:r>
        <w:t xml:space="preserve"> ska lyckas. </w:t>
      </w:r>
      <w:r w:rsidR="00702054">
        <w:t>Kunskapen om tillgänglighet är låg i myndigheter. Det är nödvändigt att marknadskontrollmyndigheter och tillsynsmyndigheter upprättar samarbete med organisationer som representerar personer som möter funktionshinder (skäl 80). Vi anser också att det behövs ett tillgänglighetsråd på Regeringskansliet som motsvarar den arbetsgrupp som EU-kommissionen ska inrätta (art</w:t>
      </w:r>
      <w:r w:rsidR="00E47471">
        <w:t>.</w:t>
      </w:r>
      <w:r w:rsidR="00702054">
        <w:t xml:space="preserve"> 28). </w:t>
      </w:r>
    </w:p>
    <w:p w14:paraId="2E8F8B60" w14:textId="77777777" w:rsidR="007C0F6B" w:rsidRDefault="007C0F6B" w:rsidP="006D09BB"/>
    <w:p w14:paraId="556EB876" w14:textId="12D376CF" w:rsidR="006D09BB" w:rsidRDefault="006D09BB" w:rsidP="006D09BB">
      <w:pPr>
        <w:pStyle w:val="Rubrik2"/>
      </w:pPr>
      <w:r>
        <w:t>Kapitel 18 Konsekvensanalyser</w:t>
      </w:r>
    </w:p>
    <w:p w14:paraId="5DA699FA" w14:textId="06C238CB" w:rsidR="00E310A6" w:rsidRDefault="00B16AD2" w:rsidP="00B16AD2">
      <w:r w:rsidRPr="00B50202">
        <w:rPr>
          <w:b/>
          <w:bCs/>
        </w:rPr>
        <w:t>Funktionsrätt Sverige saknar en konsekvensanalys</w:t>
      </w:r>
      <w:r>
        <w:t xml:space="preserve"> </w:t>
      </w:r>
      <w:r w:rsidR="00B50202">
        <w:t xml:space="preserve">sett </w:t>
      </w:r>
      <w:r>
        <w:t xml:space="preserve">till åtagande i artikel 4 och 9 i Funktionsrättskonventionen. </w:t>
      </w:r>
      <w:r w:rsidR="00E310A6">
        <w:t>Det är särskilt relevant i genomförande av detta direktiv som hänvisar till konventionen på flera ställe</w:t>
      </w:r>
      <w:r w:rsidR="00A44B8F">
        <w:t xml:space="preserve">n och allmän kommentar 2 om tillgänglighet </w:t>
      </w:r>
      <w:r w:rsidR="00955B49">
        <w:t>(skäl 50 och 103).</w:t>
      </w:r>
    </w:p>
    <w:p w14:paraId="16FC7F7E" w14:textId="7A4E2921" w:rsidR="00E310A6" w:rsidRDefault="0099557C" w:rsidP="00E310A6">
      <w:r>
        <w:t>K</w:t>
      </w:r>
      <w:r w:rsidR="00845721">
        <w:t xml:space="preserve">onsultrapporter som </w:t>
      </w:r>
      <w:r w:rsidR="00B602B9">
        <w:t xml:space="preserve">utredningen </w:t>
      </w:r>
      <w:r w:rsidR="00845721">
        <w:t xml:space="preserve">köpt in </w:t>
      </w:r>
      <w:r w:rsidR="005160F0">
        <w:t xml:space="preserve">baseras på uppskattade kostnader </w:t>
      </w:r>
      <w:r w:rsidR="004051BC">
        <w:t>som utgår från</w:t>
      </w:r>
      <w:r w:rsidR="00EB2553">
        <w:t xml:space="preserve"> att</w:t>
      </w:r>
      <w:r w:rsidR="004051BC">
        <w:t xml:space="preserve"> </w:t>
      </w:r>
      <w:r w:rsidR="00E46363">
        <w:t xml:space="preserve">företag (som saknar kunskap om tillgänglighet) </w:t>
      </w:r>
      <w:r w:rsidR="005160F0">
        <w:t xml:space="preserve">skulle </w:t>
      </w:r>
      <w:r w:rsidR="00415AF3">
        <w:t xml:space="preserve">vara tvungna att </w:t>
      </w:r>
      <w:r w:rsidR="0020539F">
        <w:t>införa kraven direkt</w:t>
      </w:r>
      <w:r w:rsidR="00E310A6">
        <w:t xml:space="preserve"> idag</w:t>
      </w:r>
      <w:r w:rsidR="0020539F">
        <w:t xml:space="preserve">. </w:t>
      </w:r>
      <w:r w:rsidR="00E310A6">
        <w:t>Beräkningarna är inte realistiska</w:t>
      </w:r>
      <w:r w:rsidR="000B3A49">
        <w:t xml:space="preserve"> och inte förenliga med direktivet.</w:t>
      </w:r>
    </w:p>
    <w:p w14:paraId="7CAF3261" w14:textId="6FB3B3C0" w:rsidR="000B522D" w:rsidRDefault="000B522D" w:rsidP="00B16AD2"/>
    <w:p w14:paraId="14227E59" w14:textId="50557930" w:rsidR="001F33C4" w:rsidRDefault="001F33C4" w:rsidP="001F33C4">
      <w:r>
        <w:t>Vi vet av erfarenhet från webbtillgänglighetsdirektivet att det kostar mycket med ett regelverk fyllt av luddiga juridiska undantag i stället för enkla regelverk utan kryphål som utgår från tillgänglighetskraven. Varken svenska småföretagare eller stora internationella företag som har arbetat med tillgänglighet under många år har gått i konkurs</w:t>
      </w:r>
      <w:r w:rsidR="00A81EE5">
        <w:t xml:space="preserve">. De är tvärtom </w:t>
      </w:r>
      <w:r>
        <w:t>framgångsrika</w:t>
      </w:r>
      <w:r w:rsidR="00A81EE5">
        <w:t xml:space="preserve"> och följer utvecklingen.</w:t>
      </w:r>
    </w:p>
    <w:p w14:paraId="1930FC27" w14:textId="0746297B" w:rsidR="006538CD" w:rsidRDefault="006538CD" w:rsidP="001F33C4"/>
    <w:p w14:paraId="29B207D6" w14:textId="689F31A8" w:rsidR="006538CD" w:rsidRDefault="006538CD" w:rsidP="006538CD">
      <w:pPr>
        <w:pStyle w:val="Rubrik2"/>
      </w:pPr>
      <w:r>
        <w:t xml:space="preserve">Behov av att utreda </w:t>
      </w:r>
      <w:r w:rsidR="00337472">
        <w:t>vidare</w:t>
      </w:r>
      <w:r w:rsidR="008A0985">
        <w:t xml:space="preserve"> omfattning</w:t>
      </w:r>
      <w:r w:rsidR="001A1F1A">
        <w:t xml:space="preserve"> av krav</w:t>
      </w:r>
    </w:p>
    <w:p w14:paraId="31D8E4C8" w14:textId="58127107" w:rsidR="008A0985" w:rsidRPr="008A0985" w:rsidRDefault="001A1F1A" w:rsidP="008A0985">
      <w:r>
        <w:t xml:space="preserve">Funktionsrätt Sverige föreslår att regeringen skyndsamt tillsätter utredningar för att utvidga omfattningen av </w:t>
      </w:r>
      <w:r w:rsidRPr="00337472">
        <w:rPr>
          <w:b/>
          <w:bCs/>
        </w:rPr>
        <w:t xml:space="preserve">tillgänglighetskrav till </w:t>
      </w:r>
      <w:r w:rsidR="00F05F0A" w:rsidRPr="00337472">
        <w:rPr>
          <w:b/>
          <w:bCs/>
        </w:rPr>
        <w:t xml:space="preserve">digitala </w:t>
      </w:r>
      <w:proofErr w:type="spellStart"/>
      <w:r w:rsidR="00F05F0A" w:rsidRPr="00337472">
        <w:rPr>
          <w:b/>
          <w:bCs/>
        </w:rPr>
        <w:t>lärplattformar</w:t>
      </w:r>
      <w:proofErr w:type="spellEnd"/>
      <w:r w:rsidR="00F05F0A" w:rsidRPr="00337472">
        <w:rPr>
          <w:b/>
          <w:bCs/>
        </w:rPr>
        <w:t xml:space="preserve"> och läromedel</w:t>
      </w:r>
      <w:r w:rsidR="00363547" w:rsidRPr="00337472">
        <w:rPr>
          <w:b/>
          <w:bCs/>
        </w:rPr>
        <w:t xml:space="preserve">, </w:t>
      </w:r>
      <w:r w:rsidR="008E5DEA" w:rsidRPr="00337472">
        <w:rPr>
          <w:b/>
          <w:bCs/>
        </w:rPr>
        <w:t>för kollektivtrafik (stadstrafik)</w:t>
      </w:r>
      <w:r w:rsidR="00363547" w:rsidRPr="00337472">
        <w:rPr>
          <w:b/>
          <w:bCs/>
        </w:rPr>
        <w:t xml:space="preserve"> och byggd miljö</w:t>
      </w:r>
      <w:r w:rsidR="008E5DEA">
        <w:t xml:space="preserve">. </w:t>
      </w:r>
      <w:r w:rsidR="00363547">
        <w:t xml:space="preserve">Genom att utvidga bestämmelserna till dessa områden så blir regelverket enklare </w:t>
      </w:r>
      <w:r w:rsidR="00A72BFE">
        <w:t xml:space="preserve">samtidigt som rätten till utbildning och personlig rörlighet ökar. Det </w:t>
      </w:r>
      <w:r w:rsidR="007070B2">
        <w:t>bidrar till ett samhälle för alla.</w:t>
      </w:r>
    </w:p>
    <w:p w14:paraId="7DAF9BCA" w14:textId="54F88154" w:rsidR="00860CDC" w:rsidRDefault="00860CDC" w:rsidP="00153E2E"/>
    <w:p w14:paraId="0400928F" w14:textId="4E670688" w:rsidR="00A31581" w:rsidRDefault="006334DA" w:rsidP="00153E2E">
      <w:r>
        <w:t>Vänliga hälsningar</w:t>
      </w:r>
    </w:p>
    <w:p w14:paraId="06023701" w14:textId="77777777" w:rsidR="00A31581" w:rsidRDefault="00A31581" w:rsidP="00153E2E"/>
    <w:p w14:paraId="68F30D1F" w14:textId="77777777" w:rsidR="00E47471" w:rsidRDefault="00E47471" w:rsidP="00153E2E"/>
    <w:p w14:paraId="73233022" w14:textId="2393676A" w:rsidR="00A44A25" w:rsidRDefault="007D1650" w:rsidP="00153E2E">
      <w:r>
        <w:t>Elisabeth Wallenius</w:t>
      </w:r>
    </w:p>
    <w:p w14:paraId="10997F0C" w14:textId="3F29EBA0" w:rsidR="005121CE" w:rsidRDefault="007D1650" w:rsidP="00294B75">
      <w:r>
        <w:t>Or</w:t>
      </w:r>
      <w:r w:rsidR="00E47471">
        <w:t xml:space="preserve">dförande </w:t>
      </w:r>
      <w:r w:rsidR="00C33D73">
        <w:t>Funktionsrätt Sverige</w:t>
      </w:r>
    </w:p>
    <w:p w14:paraId="239FB87D" w14:textId="30373F3F" w:rsidR="003E5F3B" w:rsidRDefault="003E5F3B" w:rsidP="00542C01">
      <w:pPr>
        <w:tabs>
          <w:tab w:val="clear" w:pos="3686"/>
          <w:tab w:val="clear" w:pos="4536"/>
        </w:tabs>
      </w:pPr>
    </w:p>
    <w:sectPr w:rsidR="003E5F3B" w:rsidSect="00FE663D">
      <w:headerReference w:type="even" r:id="rId12"/>
      <w:headerReference w:type="default" r:id="rId13"/>
      <w:footerReference w:type="even" r:id="rId14"/>
      <w:footerReference w:type="default" r:id="rId15"/>
      <w:headerReference w:type="first" r:id="rId16"/>
      <w:footerReference w:type="first" r:id="rId17"/>
      <w:pgSz w:w="11906" w:h="16838"/>
      <w:pgMar w:top="1418" w:right="1983" w:bottom="1134"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8214" w14:textId="77777777" w:rsidR="00DD49DC" w:rsidRDefault="00DD49DC" w:rsidP="005F150D">
      <w:r>
        <w:separator/>
      </w:r>
    </w:p>
  </w:endnote>
  <w:endnote w:type="continuationSeparator" w:id="0">
    <w:p w14:paraId="4D9227DC" w14:textId="77777777" w:rsidR="00DD49DC" w:rsidRDefault="00DD49DC" w:rsidP="005F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Gothic Light">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2F6E" w14:textId="77777777" w:rsidR="00D94F77" w:rsidRDefault="00D94F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C290" w14:textId="669035F9" w:rsidR="008C7803" w:rsidRDefault="008C7803" w:rsidP="00FF106F">
    <w:pPr>
      <w:pStyle w:val="Sidfot"/>
    </w:pPr>
    <w:r w:rsidRPr="0072580F">
      <w:rPr>
        <w:b/>
        <w:bCs/>
      </w:rPr>
      <w:t xml:space="preserve">Funktionsrätt Sverige remissvar </w:t>
    </w:r>
    <w:r w:rsidR="00765FA4" w:rsidRPr="00765FA4">
      <w:rPr>
        <w:b/>
        <w:bCs/>
      </w:rPr>
      <w:t>S2021/04731</w:t>
    </w:r>
    <w:sdt>
      <w:sdtPr>
        <w:id w:val="638309517"/>
        <w:docPartObj>
          <w:docPartGallery w:val="Page Numbers (Bottom of Page)"/>
          <w:docPartUnique/>
        </w:docPartObj>
      </w:sdtPr>
      <w:sdtEndPr/>
      <w:sdtContent>
        <w:sdt>
          <w:sdtPr>
            <w:id w:val="97552809"/>
            <w:docPartObj>
              <w:docPartGallery w:val="Page Numbers (Top of Page)"/>
              <w:docPartUnique/>
            </w:docPartObj>
          </w:sdtPr>
          <w:sdtEndPr/>
          <w:sdtContent>
            <w:r>
              <w:tab/>
            </w:r>
            <w:r>
              <w:tab/>
            </w:r>
            <w:r>
              <w:tab/>
              <w:t xml:space="preserve">Sida </w:t>
            </w:r>
            <w:r>
              <w:rPr>
                <w:b/>
              </w:rPr>
              <w:fldChar w:fldCharType="begin"/>
            </w:r>
            <w:r>
              <w:rPr>
                <w:b/>
              </w:rPr>
              <w:instrText>PAGE</w:instrText>
            </w:r>
            <w:r>
              <w:rPr>
                <w:b/>
              </w:rPr>
              <w:fldChar w:fldCharType="separate"/>
            </w:r>
            <w:r w:rsidR="00EE4A62">
              <w:rPr>
                <w:b/>
                <w:noProof/>
              </w:rPr>
              <w:t>2</w:t>
            </w:r>
            <w:r>
              <w:rPr>
                <w:b/>
              </w:rPr>
              <w:fldChar w:fldCharType="end"/>
            </w:r>
            <w:r>
              <w:t xml:space="preserve"> av </w:t>
            </w:r>
            <w:r>
              <w:rPr>
                <w:b/>
              </w:rPr>
              <w:fldChar w:fldCharType="begin"/>
            </w:r>
            <w:r>
              <w:rPr>
                <w:b/>
              </w:rPr>
              <w:instrText>NUMPAGES</w:instrText>
            </w:r>
            <w:r>
              <w:rPr>
                <w:b/>
              </w:rPr>
              <w:fldChar w:fldCharType="separate"/>
            </w:r>
            <w:r w:rsidR="00EE4A62">
              <w:rPr>
                <w:b/>
                <w:noProof/>
              </w:rPr>
              <w:t>6</w:t>
            </w:r>
            <w:r>
              <w:rPr>
                <w:b/>
              </w:rPr>
              <w:fldChar w:fldCharType="end"/>
            </w:r>
          </w:sdtContent>
        </w:sdt>
      </w:sdtContent>
    </w:sdt>
  </w:p>
  <w:p w14:paraId="7A8FCA54" w14:textId="77777777" w:rsidR="008C7803" w:rsidRPr="00737EE7" w:rsidRDefault="008C7803" w:rsidP="00737EE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B2CE" w14:textId="01B11697" w:rsidR="008C7803" w:rsidRPr="00D16760" w:rsidRDefault="008C7803" w:rsidP="001F4AF0">
    <w:pPr>
      <w:spacing w:before="240"/>
      <w:jc w:val="center"/>
      <w:rPr>
        <w:rFonts w:ascii="Arial" w:hAnsi="Arial"/>
        <w:sz w:val="20"/>
        <w:szCs w:val="20"/>
      </w:rPr>
    </w:pPr>
    <w:r>
      <w:rPr>
        <w:rFonts w:ascii="Arial" w:hAnsi="Arial"/>
        <w:noProof/>
        <w:sz w:val="20"/>
        <w:szCs w:val="20"/>
        <w:lang w:eastAsia="sv-SE"/>
      </w:rPr>
      <mc:AlternateContent>
        <mc:Choice Requires="wps">
          <w:drawing>
            <wp:anchor distT="0" distB="0" distL="114300" distR="114300" simplePos="0" relativeHeight="251665408" behindDoc="0" locked="0" layoutInCell="1" allowOverlap="1" wp14:anchorId="3496F8E6" wp14:editId="1D93120A">
              <wp:simplePos x="0" y="0"/>
              <wp:positionH relativeFrom="column">
                <wp:posOffset>-1440180</wp:posOffset>
              </wp:positionH>
              <wp:positionV relativeFrom="paragraph">
                <wp:posOffset>103505</wp:posOffset>
              </wp:positionV>
              <wp:extent cx="7562850" cy="635"/>
              <wp:effectExtent l="7620" t="8255" r="11430" b="10160"/>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E7331" id="_x0000_t32" coordsize="21600,21600" o:spt="32" o:oned="t" path="m,l21600,21600e" filled="f">
              <v:path arrowok="t" fillok="f" o:connecttype="none"/>
              <o:lock v:ext="edit" shapetype="t"/>
            </v:shapetype>
            <v:shape id="AutoShape 3" o:spid="_x0000_s1026" type="#_x0000_t32" alt="&quot;&quot;" style="position:absolute;margin-left:-113.4pt;margin-top:8.15pt;width:59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" strokecolor="#c1004b"/>
          </w:pict>
        </mc:Fallback>
      </mc:AlternateContent>
    </w:r>
    <w:r>
      <w:rPr>
        <w:rFonts w:ascii="Arial" w:hAnsi="Arial"/>
        <w:sz w:val="20"/>
        <w:szCs w:val="20"/>
      </w:rPr>
      <w:t>Funktionsrätt Sverige</w:t>
    </w:r>
    <w:r w:rsidRPr="00D16760">
      <w:rPr>
        <w:rFonts w:ascii="Arial" w:hAnsi="Arial"/>
        <w:sz w:val="20"/>
        <w:szCs w:val="20"/>
      </w:rPr>
      <w:t>, Box 1386, 172 27 Sundbyberg</w:t>
    </w:r>
    <w:r>
      <w:rPr>
        <w:rFonts w:ascii="Arial" w:hAnsi="Arial"/>
        <w:sz w:val="20"/>
        <w:szCs w:val="20"/>
      </w:rPr>
      <w:br/>
      <w:t xml:space="preserve">Telefon 08 546 404 00 </w:t>
    </w:r>
    <w:proofErr w:type="spellStart"/>
    <w:r>
      <w:rPr>
        <w:rFonts w:ascii="Arial" w:hAnsi="Arial"/>
        <w:sz w:val="20"/>
        <w:szCs w:val="20"/>
      </w:rPr>
      <w:t>vx</w:t>
    </w:r>
    <w:proofErr w:type="spellEnd"/>
    <w:r>
      <w:rPr>
        <w:rFonts w:ascii="Arial" w:hAnsi="Arial"/>
        <w:sz w:val="20"/>
        <w:szCs w:val="20"/>
      </w:rPr>
      <w:t xml:space="preserve">, Texttelefon 08 546 </w:t>
    </w:r>
    <w:proofErr w:type="gramStart"/>
    <w:r>
      <w:rPr>
        <w:rFonts w:ascii="Arial" w:hAnsi="Arial"/>
        <w:sz w:val="20"/>
        <w:szCs w:val="20"/>
      </w:rPr>
      <w:t>40450</w:t>
    </w:r>
    <w:proofErr w:type="gramEnd"/>
    <w:r>
      <w:rPr>
        <w:rFonts w:ascii="Arial" w:hAnsi="Arial"/>
        <w:sz w:val="20"/>
        <w:szCs w:val="20"/>
      </w:rPr>
      <w:t xml:space="preserve">. </w:t>
    </w:r>
    <w:proofErr w:type="spellStart"/>
    <w:r>
      <w:rPr>
        <w:rFonts w:ascii="Arial" w:hAnsi="Arial"/>
        <w:sz w:val="20"/>
        <w:szCs w:val="20"/>
      </w:rPr>
      <w:t>Org</w:t>
    </w:r>
    <w:proofErr w:type="spellEnd"/>
    <w:r>
      <w:rPr>
        <w:rFonts w:ascii="Arial" w:hAnsi="Arial"/>
        <w:sz w:val="20"/>
        <w:szCs w:val="20"/>
      </w:rPr>
      <w:t xml:space="preserve"> nr </w:t>
    </w:r>
    <w:proofErr w:type="gramStart"/>
    <w:r>
      <w:rPr>
        <w:rFonts w:ascii="Arial" w:hAnsi="Arial"/>
        <w:sz w:val="20"/>
        <w:szCs w:val="20"/>
      </w:rPr>
      <w:t>802006-2108</w:t>
    </w:r>
    <w:proofErr w:type="gramEnd"/>
  </w:p>
  <w:p w14:paraId="4C6F940D" w14:textId="2AEF91F3" w:rsidR="008C7803" w:rsidRPr="001F4AF0" w:rsidRDefault="008C7803" w:rsidP="001F4AF0">
    <w:pPr>
      <w:jc w:val="center"/>
      <w:rPr>
        <w:rFonts w:ascii="Arial" w:hAnsi="Arial"/>
        <w:sz w:val="20"/>
        <w:szCs w:val="20"/>
      </w:rPr>
    </w:pPr>
    <w:r>
      <w:rPr>
        <w:rFonts w:ascii="Arial" w:hAnsi="Arial"/>
        <w:sz w:val="20"/>
        <w:szCs w:val="20"/>
      </w:rPr>
      <w:t>www.funktionsratt</w:t>
    </w:r>
    <w:r w:rsidRPr="00D16760">
      <w:rPr>
        <w:rFonts w:ascii="Arial" w:hAnsi="Arial"/>
        <w:sz w:val="20"/>
        <w:szCs w:val="20"/>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AAF0" w14:textId="77777777" w:rsidR="00DD49DC" w:rsidRDefault="00DD49DC" w:rsidP="005F150D">
      <w:r>
        <w:separator/>
      </w:r>
    </w:p>
  </w:footnote>
  <w:footnote w:type="continuationSeparator" w:id="0">
    <w:p w14:paraId="752FA59A" w14:textId="77777777" w:rsidR="00DD49DC" w:rsidRDefault="00DD49DC" w:rsidP="005F150D">
      <w:r>
        <w:continuationSeparator/>
      </w:r>
    </w:p>
  </w:footnote>
  <w:footnote w:id="1">
    <w:p w14:paraId="4F2C1D22" w14:textId="77777777" w:rsidR="0060437F" w:rsidRDefault="0060437F" w:rsidP="0060437F">
      <w:pPr>
        <w:pStyle w:val="Fotnotstext"/>
      </w:pPr>
      <w:r>
        <w:rPr>
          <w:rStyle w:val="Fotnotsreferens"/>
        </w:rPr>
        <w:footnoteRef/>
      </w:r>
      <w:r>
        <w:t xml:space="preserve"> Särskilt yttrande från Funktionsrätt Sveriges expert, sidorna </w:t>
      </w:r>
      <w:proofErr w:type="gramStart"/>
      <w:r>
        <w:t>511-516</w:t>
      </w:r>
      <w:proofErr w:type="gramEnd"/>
      <w:r>
        <w:t xml:space="preserve"> i betänkandet.</w:t>
      </w:r>
    </w:p>
  </w:footnote>
  <w:footnote w:id="2">
    <w:p w14:paraId="4E8A8719" w14:textId="57F3C990" w:rsidR="005F756A" w:rsidRDefault="005F756A">
      <w:pPr>
        <w:pStyle w:val="Fotnotstext"/>
      </w:pPr>
      <w:r>
        <w:rPr>
          <w:rStyle w:val="Fotnotsreferens"/>
        </w:rPr>
        <w:footnoteRef/>
      </w:r>
      <w:r>
        <w:t xml:space="preserve"> Sveriges svar på frågor från FN 2019 </w:t>
      </w:r>
      <w:hyperlink r:id="rId1" w:history="1">
        <w:r w:rsidRPr="009F1E85">
          <w:rPr>
            <w:rStyle w:val="Hyperlnk"/>
          </w:rPr>
          <w:t>https://www.regeringen.se/rapporter/2019/10/sveriges-sammanslagna-andra-och-tredje-rapport-till-fns-kommitte-for-konventionen-om-rattigheter-for-personer-med-funktionsnedsattning/</w:t>
        </w:r>
      </w:hyperlink>
      <w:r>
        <w:t xml:space="preserve"> </w:t>
      </w:r>
    </w:p>
    <w:p w14:paraId="3E88745A" w14:textId="77777777" w:rsidR="005F756A" w:rsidRDefault="005F756A">
      <w:pPr>
        <w:pStyle w:val="Fotnotstext"/>
      </w:pPr>
    </w:p>
  </w:footnote>
  <w:footnote w:id="3">
    <w:p w14:paraId="4A4D05D7" w14:textId="4C5F1F2C" w:rsidR="00CB2104" w:rsidRDefault="00941A6B">
      <w:pPr>
        <w:pStyle w:val="Fotnotstext"/>
      </w:pPr>
      <w:r>
        <w:rPr>
          <w:rStyle w:val="Fotnotsreferens"/>
        </w:rPr>
        <w:footnoteRef/>
      </w:r>
      <w:r w:rsidRPr="00CB2104">
        <w:t xml:space="preserve"> </w:t>
      </w:r>
      <w:r w:rsidR="00CB2104" w:rsidRPr="00CB2104">
        <w:t>Meddela</w:t>
      </w:r>
      <w:r w:rsidR="00CB2104">
        <w:t xml:space="preserve">nde </w:t>
      </w:r>
      <w:r w:rsidR="001F6759">
        <w:t>R</w:t>
      </w:r>
      <w:r w:rsidRPr="00CB2104">
        <w:t>enovatio</w:t>
      </w:r>
      <w:r w:rsidR="001F6759">
        <w:t>n</w:t>
      </w:r>
      <w:r w:rsidRPr="00CB2104">
        <w:t xml:space="preserve"> </w:t>
      </w:r>
      <w:proofErr w:type="spellStart"/>
      <w:r w:rsidRPr="00CB2104">
        <w:t>wave</w:t>
      </w:r>
      <w:proofErr w:type="spellEnd"/>
      <w:r w:rsidRPr="00CB2104">
        <w:t xml:space="preserve"> </w:t>
      </w:r>
      <w:r w:rsidR="00CB2104">
        <w:t>där tillgänglighet är en princip</w:t>
      </w:r>
      <w:r w:rsidR="001F6759">
        <w:t>. Koppling EU-fonder.</w:t>
      </w:r>
    </w:p>
    <w:p w14:paraId="599C2549" w14:textId="282816ED" w:rsidR="00941A6B" w:rsidRPr="00CB2104" w:rsidRDefault="00C13AF4">
      <w:pPr>
        <w:pStyle w:val="Fotnotstext"/>
      </w:pPr>
      <w:hyperlink r:id="rId2" w:history="1">
        <w:r w:rsidR="00CB2104" w:rsidRPr="009F1E85">
          <w:rPr>
            <w:rStyle w:val="Hyperlnk"/>
          </w:rPr>
          <w:t>https://ec.europa.eu/energy/sites/ener/files/eu_renovation_wave_strategy.pdf</w:t>
        </w:r>
      </w:hyperlink>
      <w:r w:rsidR="00941A6B" w:rsidRPr="00CB2104">
        <w:t xml:space="preserve"> </w:t>
      </w:r>
    </w:p>
    <w:p w14:paraId="01B79E56" w14:textId="77777777" w:rsidR="00941A6B" w:rsidRPr="00CB2104" w:rsidRDefault="00941A6B">
      <w:pPr>
        <w:pStyle w:val="Fotnotstext"/>
      </w:pPr>
    </w:p>
  </w:footnote>
  <w:footnote w:id="4">
    <w:p w14:paraId="3042B61C" w14:textId="739BADE6" w:rsidR="00045AC9" w:rsidRDefault="00045AC9">
      <w:pPr>
        <w:pStyle w:val="Fotnotstext"/>
      </w:pPr>
      <w:r>
        <w:rPr>
          <w:rStyle w:val="Fotnotsreferens"/>
        </w:rPr>
        <w:footnoteRef/>
      </w:r>
      <w:r>
        <w:t xml:space="preserve"> Flera hänvisningar </w:t>
      </w:r>
      <w:r w:rsidR="00E95B66">
        <w:t xml:space="preserve">i flera artiklar </w:t>
      </w:r>
      <w:r w:rsidR="00F15D70">
        <w:t>102, 103, 109 med fler i EU2018/1942</w:t>
      </w:r>
      <w:r w:rsidR="00A608E5">
        <w:t xml:space="preserve"> </w:t>
      </w:r>
      <w:hyperlink r:id="rId3" w:history="1">
        <w:r w:rsidR="00A608E5" w:rsidRPr="009F1E85">
          <w:rPr>
            <w:rStyle w:val="Hyperlnk"/>
          </w:rPr>
          <w:t>https://eur-lex.europa.eu/legal-content/EN/TXT/?uri=uriserv%3AOJ.L_.2018.321.01.0036.01.ENG</w:t>
        </w:r>
      </w:hyperlink>
      <w:r w:rsidR="00A608E5">
        <w:t xml:space="preserve"> </w:t>
      </w:r>
    </w:p>
  </w:footnote>
  <w:footnote w:id="5">
    <w:p w14:paraId="58819940" w14:textId="66D10073" w:rsidR="00D506DA" w:rsidRDefault="00D506DA">
      <w:pPr>
        <w:pStyle w:val="Fotnotstext"/>
      </w:pPr>
      <w:r>
        <w:rPr>
          <w:rStyle w:val="Fotnotsreferens"/>
        </w:rPr>
        <w:footnoteRef/>
      </w:r>
      <w:r>
        <w:t xml:space="preserve"> </w:t>
      </w:r>
      <w:r w:rsidR="00BD0552">
        <w:t xml:space="preserve">Till exempel </w:t>
      </w:r>
      <w:proofErr w:type="spellStart"/>
      <w:r w:rsidR="00BD0552">
        <w:t>upphandlingsdirektive</w:t>
      </w:r>
      <w:proofErr w:type="spellEnd"/>
      <w:r w:rsidR="00BD0552">
        <w:t xml:space="preserve"> artikel 42 </w:t>
      </w:r>
      <w:hyperlink r:id="rId4" w:history="1">
        <w:r w:rsidR="00BD0552" w:rsidRPr="009F1E85">
          <w:rPr>
            <w:rStyle w:val="Hyperlnk"/>
          </w:rPr>
          <w:t>https://eur-lex.europa.eu/legal-content/EN/TXT/PDF/?uri=CELEX:32014L0024</w:t>
        </w:r>
      </w:hyperlink>
      <w:r w:rsidR="00BD0552">
        <w:t xml:space="preserve"> </w:t>
      </w:r>
    </w:p>
  </w:footnote>
  <w:footnote w:id="6">
    <w:p w14:paraId="6A24D37E" w14:textId="51CCD27F" w:rsidR="00B43B5C" w:rsidRDefault="00B43B5C">
      <w:pPr>
        <w:pStyle w:val="Fotnotstext"/>
      </w:pPr>
      <w:r>
        <w:rPr>
          <w:rStyle w:val="Fotnotsreferens"/>
        </w:rPr>
        <w:footnoteRef/>
      </w:r>
      <w:r>
        <w:t xml:space="preserve"> S</w:t>
      </w:r>
      <w:r w:rsidR="00CF0A82">
        <w:t xml:space="preserve">ök på </w:t>
      </w:r>
      <w:r w:rsidR="003E39CA">
        <w:t xml:space="preserve">tillgänglighet i lagrådsremiss om </w:t>
      </w:r>
      <w:r w:rsidR="00326375">
        <w:t xml:space="preserve">kompletterande bestämmelser till EU:s förordningar om sammanhållningspolitiken. </w:t>
      </w:r>
      <w:hyperlink r:id="rId5" w:history="1">
        <w:r w:rsidR="00326375" w:rsidRPr="00DE2E02">
          <w:rPr>
            <w:rStyle w:val="Hyperlnk"/>
          </w:rPr>
          <w:t>https://www.regeringen.se/4a8d1d/contentassets/bc526ed9d57649faaeabce2270e00d45/1170025_lrr_kompletterande-bestammelser-298s_2.pdf</w:t>
        </w:r>
      </w:hyperlink>
      <w:r w:rsidR="00326375">
        <w:t xml:space="preserve"> </w:t>
      </w:r>
      <w:r w:rsidR="00867D24">
        <w:t>Det finns</w:t>
      </w:r>
      <w:r>
        <w:t xml:space="preserve"> exempel</w:t>
      </w:r>
      <w:r w:rsidR="00867D24">
        <w:t xml:space="preserve"> i</w:t>
      </w:r>
      <w:r>
        <w:t xml:space="preserve"> </w:t>
      </w:r>
      <w:r w:rsidR="005304E6">
        <w:t xml:space="preserve">skäl 6 i </w:t>
      </w:r>
      <w:r w:rsidR="00541F69">
        <w:t xml:space="preserve">EU:s förordning om strukturfonderna </w:t>
      </w:r>
      <w:r w:rsidR="00F15D70">
        <w:t>EU</w:t>
      </w:r>
      <w:r w:rsidR="00541F69">
        <w:rPr>
          <w:b/>
          <w:bCs/>
          <w:color w:val="000000"/>
          <w:shd w:val="clear" w:color="auto" w:fill="FFFFFF"/>
        </w:rPr>
        <w:t xml:space="preserve">2021/1060 </w:t>
      </w:r>
      <w:hyperlink r:id="rId6" w:history="1">
        <w:r w:rsidR="00541F69" w:rsidRPr="009F1E85">
          <w:rPr>
            <w:rStyle w:val="Hyperlnk"/>
          </w:rPr>
          <w:t>https://eur-lex.europa.eu/legal-content/EN/TXT/?uri=CELEX%3A32021R1060</w:t>
        </w:r>
      </w:hyperlink>
      <w:r w:rsidR="007A66EB">
        <w:t xml:space="preserve"> och artikel 6 och 2</w:t>
      </w:r>
      <w:r w:rsidR="001D3108">
        <w:t>8</w:t>
      </w:r>
      <w:r w:rsidR="007A66EB">
        <w:t xml:space="preserve"> i </w:t>
      </w:r>
      <w:r w:rsidR="001D3108">
        <w:t xml:space="preserve">EU2021/1057 </w:t>
      </w:r>
      <w:hyperlink r:id="rId7" w:history="1">
        <w:r w:rsidR="001D3108" w:rsidRPr="009F1E85">
          <w:rPr>
            <w:rStyle w:val="Hyperlnk"/>
          </w:rPr>
          <w:t>https://eur-lex.europa.eu/legal-content/EN/TXT/?uri=CELEX:32021R1057</w:t>
        </w:r>
      </w:hyperlink>
      <w:r w:rsidR="001D3108">
        <w:t xml:space="preserve"> och </w:t>
      </w:r>
      <w:r w:rsidR="00D43328">
        <w:t xml:space="preserve">skäl 5 med direkt koppling till konventionen i EU2021/1058 </w:t>
      </w:r>
      <w:hyperlink r:id="rId8" w:history="1">
        <w:r w:rsidR="00D43328" w:rsidRPr="009F1E85">
          <w:rPr>
            <w:rStyle w:val="Hyperlnk"/>
          </w:rPr>
          <w:t>https://eur-lex.europa.eu/eli/reg/2021/1058</w:t>
        </w:r>
      </w:hyperlink>
      <w:r w:rsidR="00D43328">
        <w:t xml:space="preserve"> </w:t>
      </w:r>
    </w:p>
  </w:footnote>
  <w:footnote w:id="7">
    <w:p w14:paraId="1F164F68" w14:textId="77777777" w:rsidR="00526A95" w:rsidRDefault="00526A95" w:rsidP="00526A95">
      <w:pPr>
        <w:pStyle w:val="Fotnotstext"/>
      </w:pPr>
      <w:r>
        <w:rPr>
          <w:rStyle w:val="Fotnotsreferens"/>
        </w:rPr>
        <w:footnoteRef/>
      </w:r>
      <w:r>
        <w:t xml:space="preserve"> </w:t>
      </w:r>
      <w:hyperlink r:id="rId9" w:history="1">
        <w:r>
          <w:rPr>
            <w:rStyle w:val="Hyperlnk"/>
          </w:rPr>
          <w:t>Överträdelseförfarande | Europeiska kommissionen (europa.eu)</w:t>
        </w:r>
      </w:hyperlink>
    </w:p>
  </w:footnote>
  <w:footnote w:id="8">
    <w:p w14:paraId="19FAFE5B" w14:textId="77777777" w:rsidR="003A10A7" w:rsidRDefault="003A10A7" w:rsidP="003A10A7">
      <w:pPr>
        <w:pStyle w:val="Fotnotstext"/>
      </w:pPr>
      <w:r>
        <w:rPr>
          <w:rStyle w:val="Fotnotsreferens"/>
        </w:rPr>
        <w:footnoteRef/>
      </w:r>
      <w:r>
        <w:t xml:space="preserve"> EU:s beskrivning av harmoniserade standarder, hämtad 10 oktober 2021</w:t>
      </w:r>
    </w:p>
    <w:p w14:paraId="4CFC9B56" w14:textId="77777777" w:rsidR="003A10A7" w:rsidRDefault="00C13AF4" w:rsidP="003A10A7">
      <w:pPr>
        <w:pStyle w:val="Fotnotstext"/>
      </w:pPr>
      <w:hyperlink r:id="rId10" w:history="1">
        <w:r w:rsidR="003A10A7" w:rsidRPr="009F1E85">
          <w:rPr>
            <w:rStyle w:val="Hyperlnk"/>
          </w:rPr>
          <w:t>https://ec.europa.eu/growth/single-market/european-standards/harmonised-standards_en</w:t>
        </w:r>
      </w:hyperlink>
    </w:p>
    <w:p w14:paraId="11E00784" w14:textId="77777777" w:rsidR="003A10A7" w:rsidRDefault="003A10A7" w:rsidP="003A10A7">
      <w:pPr>
        <w:pStyle w:val="Fotnotstext"/>
      </w:pPr>
    </w:p>
  </w:footnote>
  <w:footnote w:id="9">
    <w:p w14:paraId="038F6391" w14:textId="273CA48E" w:rsidR="000512A7" w:rsidRPr="000512A7" w:rsidRDefault="000512A7">
      <w:pPr>
        <w:pStyle w:val="Fotnotstext"/>
      </w:pPr>
      <w:r>
        <w:rPr>
          <w:rStyle w:val="Fotnotsreferens"/>
        </w:rPr>
        <w:footnoteRef/>
      </w:r>
      <w:r w:rsidRPr="000512A7">
        <w:t xml:space="preserve"> </w:t>
      </w:r>
      <w:proofErr w:type="spellStart"/>
      <w:r w:rsidRPr="000512A7">
        <w:t>European</w:t>
      </w:r>
      <w:proofErr w:type="spellEnd"/>
      <w:r w:rsidRPr="000512A7">
        <w:t xml:space="preserve"> Disability Forum har public</w:t>
      </w:r>
      <w:r w:rsidRPr="009003FD">
        <w:t>erat synpunkter på</w:t>
      </w:r>
      <w:r>
        <w:t xml:space="preserve"> utkastet till standardiseringsbegäran </w:t>
      </w:r>
      <w:r w:rsidR="009003FD">
        <w:t xml:space="preserve">som ger en bakgrund till förslaget. </w:t>
      </w:r>
      <w:r w:rsidR="009003FD" w:rsidRPr="009003FD">
        <w:t>https://www.edf-feph.org/publications/edf-position-paper-on-european-commissions-draft-standardisation-request-for-the-european-accessibility-act/</w:t>
      </w:r>
      <w:r w:rsidR="009003FD">
        <w:br/>
      </w:r>
    </w:p>
  </w:footnote>
  <w:footnote w:id="10">
    <w:p w14:paraId="4DAE6A57" w14:textId="43CAC88B" w:rsidR="0033780F" w:rsidRDefault="0033780F">
      <w:pPr>
        <w:pStyle w:val="Fotnotstext"/>
      </w:pPr>
      <w:r>
        <w:rPr>
          <w:rStyle w:val="Fotnotsreferens"/>
        </w:rPr>
        <w:footnoteRef/>
      </w:r>
      <w:r>
        <w:t xml:space="preserve">Strategi för systematisk uppföljning av funktionshinderpolitiken </w:t>
      </w:r>
      <w:hyperlink r:id="rId11" w:history="1">
        <w:r w:rsidR="009B0D26" w:rsidRPr="009F1E85">
          <w:rPr>
            <w:rStyle w:val="Hyperlnk"/>
          </w:rPr>
          <w:t>https://www.regeringen.se/4a8216/contentassets/b8c121037d7746899d4de4329e5159e8/strategi-for-systematisk-uppfoljning-av-funktionshinderspolitiken-under-2021-2031.pdf</w:t>
        </w:r>
      </w:hyperlink>
    </w:p>
    <w:p w14:paraId="52BD1F39" w14:textId="77777777" w:rsidR="009B0D26" w:rsidRDefault="009B0D26">
      <w:pPr>
        <w:pStyle w:val="Fotnotstext"/>
      </w:pPr>
    </w:p>
  </w:footnote>
  <w:footnote w:id="11">
    <w:p w14:paraId="17872617" w14:textId="58E041C6" w:rsidR="00BC5D23" w:rsidRDefault="00373E68">
      <w:pPr>
        <w:pStyle w:val="Fotnotstext"/>
      </w:pPr>
      <w:r>
        <w:rPr>
          <w:rStyle w:val="Fotnotsreferens"/>
        </w:rPr>
        <w:footnoteRef/>
      </w:r>
      <w:r w:rsidR="00BC5D23">
        <w:t xml:space="preserve">Europeisk funktionsrättsstrategi som lanserades i mars 2021 </w:t>
      </w:r>
      <w:hyperlink r:id="rId12" w:history="1">
        <w:r w:rsidR="00BC5D23" w:rsidRPr="009F1E85">
          <w:rPr>
            <w:rStyle w:val="Hyperlnk"/>
          </w:rPr>
          <w:t>https://ec.europa.eu/social/main.jsp?catId=738&amp;langId=en&amp;pubId=8376&amp;furtherPubs=yes</w:t>
        </w:r>
      </w:hyperlink>
    </w:p>
  </w:footnote>
  <w:footnote w:id="12">
    <w:p w14:paraId="17228474" w14:textId="4E9B1B80" w:rsidR="00977D4D" w:rsidRDefault="00977D4D">
      <w:pPr>
        <w:pStyle w:val="Fotnotstext"/>
      </w:pPr>
      <w:r>
        <w:rPr>
          <w:rStyle w:val="Fotnotsreferens"/>
        </w:rPr>
        <w:footnoteRef/>
      </w:r>
      <w:r>
        <w:t xml:space="preserve"> </w:t>
      </w:r>
      <w:r w:rsidR="00250C0C">
        <w:t xml:space="preserve">Standarden EN 17161 finns tillgänglig gratis på svenska </w:t>
      </w:r>
      <w:r w:rsidR="00250C0C" w:rsidRPr="00250C0C">
        <w:t>https://www.sis.se/produkter/terminologi-och-dokumentation/allmanna-regler/ss-en-1716120192/</w:t>
      </w:r>
    </w:p>
  </w:footnote>
  <w:footnote w:id="13">
    <w:p w14:paraId="61D2656C" w14:textId="46057CAC" w:rsidR="000935EE" w:rsidRDefault="000935EE">
      <w:pPr>
        <w:pStyle w:val="Fotnotstext"/>
      </w:pPr>
      <w:r>
        <w:rPr>
          <w:rStyle w:val="Fotnotsreferens"/>
        </w:rPr>
        <w:footnoteRef/>
      </w:r>
      <w:r>
        <w:t xml:space="preserve"> Norges myndighet </w:t>
      </w:r>
      <w:proofErr w:type="spellStart"/>
      <w:r>
        <w:t>Difi</w:t>
      </w:r>
      <w:proofErr w:type="spellEnd"/>
      <w:r>
        <w:t xml:space="preserve"> hotade SAS med böter</w:t>
      </w:r>
      <w:r w:rsidR="00481FF2">
        <w:t xml:space="preserve"> på grund av otillgänglighet </w:t>
      </w:r>
      <w:hyperlink r:id="rId13" w:history="1">
        <w:r w:rsidR="00481FF2" w:rsidRPr="009F1E85">
          <w:rPr>
            <w:rStyle w:val="Hyperlnk"/>
          </w:rPr>
          <w:t>https://www.uutilsynet.no/tilsyn/difi-avsluttar-tilsyn-med-sas-utan-dagboter/133</w:t>
        </w:r>
      </w:hyperlink>
      <w:r w:rsidR="00481FF2">
        <w:t xml:space="preserve"> </w:t>
      </w:r>
      <w:r>
        <w:t>, men USA utfärdade dem</w:t>
      </w:r>
      <w:r w:rsidR="00481FF2">
        <w:t xml:space="preserve"> </w:t>
      </w:r>
      <w:hyperlink r:id="rId14" w:history="1">
        <w:r w:rsidRPr="009F1E85">
          <w:rPr>
            <w:rStyle w:val="Hyperlnk"/>
          </w:rPr>
          <w:t>https://www.transportation.gov/briefing-room/dot7418</w:t>
        </w:r>
      </w:hyperlink>
      <w:r>
        <w:t xml:space="preserve"> </w:t>
      </w:r>
    </w:p>
    <w:p w14:paraId="382ED7AC" w14:textId="77777777" w:rsidR="000935EE" w:rsidRDefault="000935EE">
      <w:pPr>
        <w:pStyle w:val="Fotnotstext"/>
      </w:pPr>
    </w:p>
  </w:footnote>
  <w:footnote w:id="14">
    <w:p w14:paraId="23A83A7C" w14:textId="77777777" w:rsidR="00B55CC2" w:rsidRDefault="00B55CC2" w:rsidP="00B55CC2">
      <w:pPr>
        <w:pStyle w:val="Fotnotstext"/>
      </w:pPr>
      <w:r>
        <w:rPr>
          <w:rStyle w:val="Fotnotsreferens"/>
        </w:rPr>
        <w:footnoteRef/>
      </w:r>
      <w:r>
        <w:t xml:space="preserve"> Skrivelse från Funktionsrätt Sverige till regeringen 2019 om Riv hinder </w:t>
      </w:r>
      <w:hyperlink r:id="rId15" w:history="1">
        <w:r w:rsidRPr="009F1E85">
          <w:rPr>
            <w:rStyle w:val="Hyperlnk"/>
          </w:rPr>
          <w:t>https://funktionsratt.se/wp-content/uploads/2019/11/Skrivelse-Riv-hindren-Tillg%C3%A4nglighet-oktober-2019.pdf</w:t>
        </w:r>
      </w:hyperlink>
    </w:p>
    <w:p w14:paraId="07D864F1" w14:textId="77777777" w:rsidR="00B55CC2" w:rsidRDefault="00B55CC2" w:rsidP="00B55CC2">
      <w:pPr>
        <w:pStyle w:val="Fotnotstext"/>
      </w:pPr>
    </w:p>
  </w:footnote>
  <w:footnote w:id="15">
    <w:p w14:paraId="5685A63E" w14:textId="1455924C" w:rsidR="00215B69" w:rsidRDefault="00215B69">
      <w:pPr>
        <w:pStyle w:val="Fotnotstext"/>
      </w:pPr>
      <w:r>
        <w:rPr>
          <w:rStyle w:val="Fotnotsreferens"/>
        </w:rPr>
        <w:footnoteRef/>
      </w:r>
      <w:r>
        <w:t xml:space="preserve"> Avgörande i högsta domstolen som rör ansvar i ett </w:t>
      </w:r>
      <w:r w:rsidR="003728A1">
        <w:t xml:space="preserve">diskrimineringsfall </w:t>
      </w:r>
      <w:hyperlink r:id="rId16" w:history="1">
        <w:r w:rsidR="003728A1" w:rsidRPr="009F1E85">
          <w:rPr>
            <w:rStyle w:val="Hyperlnk"/>
          </w:rPr>
          <w:t>https://www.domstol.se/globalassets/filer/domstol/hogstadomstolen/avgoranden/2017/o-556-17.pdf</w:t>
        </w:r>
      </w:hyperlink>
      <w:r w:rsidR="003728A1">
        <w:t xml:space="preserve"> </w:t>
      </w:r>
    </w:p>
  </w:footnote>
  <w:footnote w:id="16">
    <w:p w14:paraId="4D1518DF" w14:textId="71D7EC3B" w:rsidR="00F7504B" w:rsidRDefault="00F7504B">
      <w:pPr>
        <w:pStyle w:val="Fotnotstext"/>
      </w:pPr>
      <w:r>
        <w:rPr>
          <w:rStyle w:val="Fotnotsreferens"/>
        </w:rPr>
        <w:footnoteRef/>
      </w:r>
      <w:r>
        <w:t xml:space="preserve"> Se </w:t>
      </w:r>
      <w:hyperlink r:id="rId17" w:history="1">
        <w:r w:rsidRPr="00432EBB">
          <w:rPr>
            <w:rStyle w:val="Hyperlnk"/>
          </w:rPr>
          <w:t>https://civilrights.justice.gov/</w:t>
        </w:r>
      </w:hyperlink>
      <w:r>
        <w:t xml:space="preserve"> och </w:t>
      </w:r>
      <w:r w:rsidR="009B1B42">
        <w:t>b</w:t>
      </w:r>
      <w:r w:rsidR="00914CBE">
        <w:t xml:space="preserve">eskrivning </w:t>
      </w:r>
      <w:r w:rsidR="009B1B42">
        <w:t xml:space="preserve">av gott exempel på tillgänglighet vid revidering av portalen </w:t>
      </w:r>
      <w:hyperlink r:id="rId18" w:history="1">
        <w:r w:rsidR="00914CBE" w:rsidRPr="00432EBB">
          <w:rPr>
            <w:rStyle w:val="Hyperlnk"/>
          </w:rPr>
          <w:t>https://www.access-board.gov/webinars/2021/09/28/section-508-best-practices-the-civil-rights-complaint-portal-an-accessibility-journey/</w:t>
        </w:r>
      </w:hyperlink>
      <w:r w:rsidR="00914CBE">
        <w:t xml:space="preserve"> </w:t>
      </w:r>
    </w:p>
    <w:p w14:paraId="2FE2A29E" w14:textId="77777777" w:rsidR="008864DA" w:rsidRDefault="008864DA">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0C17" w14:textId="760CC017" w:rsidR="00D94F77" w:rsidRDefault="00D94F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6B75" w14:textId="6232255E" w:rsidR="008C7803" w:rsidRDefault="008C7803" w:rsidP="005F150D">
    <w:pPr>
      <w:pStyle w:val="Sidhuvud"/>
    </w:pPr>
  </w:p>
  <w:p w14:paraId="24F0320F" w14:textId="77777777" w:rsidR="008C7803" w:rsidRDefault="008C7803" w:rsidP="005F150D">
    <w:pPr>
      <w:pStyle w:val="Sidhuvud"/>
    </w:pPr>
  </w:p>
  <w:p w14:paraId="2DBD3906" w14:textId="77777777" w:rsidR="008C7803" w:rsidRDefault="008C7803" w:rsidP="005F150D">
    <w:pPr>
      <w:pStyle w:val="Sidhuvud"/>
    </w:pPr>
  </w:p>
  <w:p w14:paraId="4F417146" w14:textId="77777777" w:rsidR="008C7803" w:rsidRDefault="008C7803" w:rsidP="005F150D">
    <w:pPr>
      <w:pStyle w:val="Sidhuvud"/>
    </w:pPr>
  </w:p>
  <w:p w14:paraId="1CA358F5" w14:textId="77777777" w:rsidR="008C7803" w:rsidRPr="00FF106F" w:rsidRDefault="008C7803" w:rsidP="005F150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E03" w14:textId="746F89F7" w:rsidR="008C7803" w:rsidRDefault="008C7803">
    <w:pPr>
      <w:pStyle w:val="Sidhuvud"/>
    </w:pPr>
  </w:p>
  <w:p w14:paraId="33DB8BBD" w14:textId="484FDCEB" w:rsidR="008C7803" w:rsidRDefault="008C7803" w:rsidP="00681D03">
    <w:pPr>
      <w:pStyle w:val="Sidhuvud"/>
      <w:jc w:val="center"/>
    </w:pPr>
    <w:r>
      <w:rPr>
        <w:noProof/>
        <w:lang w:eastAsia="sv-SE"/>
      </w:rPr>
      <w:drawing>
        <wp:inline distT="0" distB="0" distL="0" distR="0" wp14:anchorId="7F5CD3CD" wp14:editId="2E876C85">
          <wp:extent cx="1959343" cy="881837"/>
          <wp:effectExtent l="0" t="0" r="3175" b="0"/>
          <wp:docPr id="10" name="Bildobjekt 10" descr="Logotyp Funktionsrätt Sver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rätt Sverige webb.jpg"/>
                  <pic:cNvPicPr/>
                </pic:nvPicPr>
                <pic:blipFill>
                  <a:blip r:embed="rId1">
                    <a:extLst>
                      <a:ext uri="{28A0092B-C50C-407E-A947-70E740481C1C}">
                        <a14:useLocalDpi xmlns:a14="http://schemas.microsoft.com/office/drawing/2010/main" val="0"/>
                      </a:ext>
                    </a:extLst>
                  </a:blip>
                  <a:stretch>
                    <a:fillRect/>
                  </a:stretch>
                </pic:blipFill>
                <pic:spPr>
                  <a:xfrm>
                    <a:off x="0" y="0"/>
                    <a:ext cx="2039121" cy="917743"/>
                  </a:xfrm>
                  <a:prstGeom prst="rect">
                    <a:avLst/>
                  </a:prstGeom>
                </pic:spPr>
              </pic:pic>
            </a:graphicData>
          </a:graphic>
        </wp:inline>
      </w:drawing>
    </w:r>
  </w:p>
  <w:p w14:paraId="3ADAF904" w14:textId="77777777" w:rsidR="004F2E0A" w:rsidRDefault="004F2E0A" w:rsidP="00681D03">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90D"/>
    <w:multiLevelType w:val="multilevel"/>
    <w:tmpl w:val="EE48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3234A"/>
    <w:multiLevelType w:val="hybridMultilevel"/>
    <w:tmpl w:val="E9DC2E0C"/>
    <w:lvl w:ilvl="0" w:tplc="6D5CC75E">
      <w:start w:val="6"/>
      <w:numFmt w:val="bullet"/>
      <w:lvlText w:val="-"/>
      <w:lvlJc w:val="left"/>
      <w:pPr>
        <w:ind w:left="420" w:hanging="360"/>
      </w:pPr>
      <w:rPr>
        <w:rFonts w:ascii="Calibri" w:eastAsiaTheme="minorHAnsi"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15:restartNumberingAfterBreak="0">
    <w:nsid w:val="0D77302B"/>
    <w:multiLevelType w:val="hybridMultilevel"/>
    <w:tmpl w:val="0734D2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9410548"/>
    <w:multiLevelType w:val="hybridMultilevel"/>
    <w:tmpl w:val="9D7AB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9B18A9"/>
    <w:multiLevelType w:val="hybridMultilevel"/>
    <w:tmpl w:val="A1A4A7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4267B9F"/>
    <w:multiLevelType w:val="hybridMultilevel"/>
    <w:tmpl w:val="9F04CA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9850644"/>
    <w:multiLevelType w:val="hybridMultilevel"/>
    <w:tmpl w:val="2CF66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A624CE"/>
    <w:multiLevelType w:val="hybridMultilevel"/>
    <w:tmpl w:val="DC66C92C"/>
    <w:lvl w:ilvl="0" w:tplc="EEDE6ECA">
      <w:start w:val="3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09F6F03"/>
    <w:multiLevelType w:val="hybridMultilevel"/>
    <w:tmpl w:val="2FDEB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C126B5"/>
    <w:multiLevelType w:val="hybridMultilevel"/>
    <w:tmpl w:val="60504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2E74EB"/>
    <w:multiLevelType w:val="hybridMultilevel"/>
    <w:tmpl w:val="D92275F0"/>
    <w:lvl w:ilvl="0" w:tplc="004CD95A">
      <w:start w:val="3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4059BD"/>
    <w:multiLevelType w:val="hybridMultilevel"/>
    <w:tmpl w:val="F74CD672"/>
    <w:lvl w:ilvl="0" w:tplc="060A0FB8">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55600C7C"/>
    <w:multiLevelType w:val="hybridMultilevel"/>
    <w:tmpl w:val="42006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0C5184"/>
    <w:multiLevelType w:val="hybridMultilevel"/>
    <w:tmpl w:val="B11E55F4"/>
    <w:lvl w:ilvl="0" w:tplc="15083EF6">
      <w:start w:val="1"/>
      <w:numFmt w:val="bullet"/>
      <w:lvlText w:val="•"/>
      <w:lvlJc w:val="left"/>
      <w:pPr>
        <w:tabs>
          <w:tab w:val="num" w:pos="720"/>
        </w:tabs>
        <w:ind w:left="720" w:hanging="360"/>
      </w:pPr>
      <w:rPr>
        <w:rFonts w:ascii="Arial" w:hAnsi="Arial" w:hint="default"/>
      </w:rPr>
    </w:lvl>
    <w:lvl w:ilvl="1" w:tplc="D2E426CC" w:tentative="1">
      <w:start w:val="1"/>
      <w:numFmt w:val="bullet"/>
      <w:lvlText w:val="•"/>
      <w:lvlJc w:val="left"/>
      <w:pPr>
        <w:tabs>
          <w:tab w:val="num" w:pos="1440"/>
        </w:tabs>
        <w:ind w:left="1440" w:hanging="360"/>
      </w:pPr>
      <w:rPr>
        <w:rFonts w:ascii="Arial" w:hAnsi="Arial" w:hint="default"/>
      </w:rPr>
    </w:lvl>
    <w:lvl w:ilvl="2" w:tplc="C82E410E" w:tentative="1">
      <w:start w:val="1"/>
      <w:numFmt w:val="bullet"/>
      <w:lvlText w:val="•"/>
      <w:lvlJc w:val="left"/>
      <w:pPr>
        <w:tabs>
          <w:tab w:val="num" w:pos="2160"/>
        </w:tabs>
        <w:ind w:left="2160" w:hanging="360"/>
      </w:pPr>
      <w:rPr>
        <w:rFonts w:ascii="Arial" w:hAnsi="Arial" w:hint="default"/>
      </w:rPr>
    </w:lvl>
    <w:lvl w:ilvl="3" w:tplc="33AEEEB4" w:tentative="1">
      <w:start w:val="1"/>
      <w:numFmt w:val="bullet"/>
      <w:lvlText w:val="•"/>
      <w:lvlJc w:val="left"/>
      <w:pPr>
        <w:tabs>
          <w:tab w:val="num" w:pos="2880"/>
        </w:tabs>
        <w:ind w:left="2880" w:hanging="360"/>
      </w:pPr>
      <w:rPr>
        <w:rFonts w:ascii="Arial" w:hAnsi="Arial" w:hint="default"/>
      </w:rPr>
    </w:lvl>
    <w:lvl w:ilvl="4" w:tplc="29843164" w:tentative="1">
      <w:start w:val="1"/>
      <w:numFmt w:val="bullet"/>
      <w:lvlText w:val="•"/>
      <w:lvlJc w:val="left"/>
      <w:pPr>
        <w:tabs>
          <w:tab w:val="num" w:pos="3600"/>
        </w:tabs>
        <w:ind w:left="3600" w:hanging="360"/>
      </w:pPr>
      <w:rPr>
        <w:rFonts w:ascii="Arial" w:hAnsi="Arial" w:hint="default"/>
      </w:rPr>
    </w:lvl>
    <w:lvl w:ilvl="5" w:tplc="1CB0E0B0" w:tentative="1">
      <w:start w:val="1"/>
      <w:numFmt w:val="bullet"/>
      <w:lvlText w:val="•"/>
      <w:lvlJc w:val="left"/>
      <w:pPr>
        <w:tabs>
          <w:tab w:val="num" w:pos="4320"/>
        </w:tabs>
        <w:ind w:left="4320" w:hanging="360"/>
      </w:pPr>
      <w:rPr>
        <w:rFonts w:ascii="Arial" w:hAnsi="Arial" w:hint="default"/>
      </w:rPr>
    </w:lvl>
    <w:lvl w:ilvl="6" w:tplc="78224E88" w:tentative="1">
      <w:start w:val="1"/>
      <w:numFmt w:val="bullet"/>
      <w:lvlText w:val="•"/>
      <w:lvlJc w:val="left"/>
      <w:pPr>
        <w:tabs>
          <w:tab w:val="num" w:pos="5040"/>
        </w:tabs>
        <w:ind w:left="5040" w:hanging="360"/>
      </w:pPr>
      <w:rPr>
        <w:rFonts w:ascii="Arial" w:hAnsi="Arial" w:hint="default"/>
      </w:rPr>
    </w:lvl>
    <w:lvl w:ilvl="7" w:tplc="0A165E6C" w:tentative="1">
      <w:start w:val="1"/>
      <w:numFmt w:val="bullet"/>
      <w:lvlText w:val="•"/>
      <w:lvlJc w:val="left"/>
      <w:pPr>
        <w:tabs>
          <w:tab w:val="num" w:pos="5760"/>
        </w:tabs>
        <w:ind w:left="5760" w:hanging="360"/>
      </w:pPr>
      <w:rPr>
        <w:rFonts w:ascii="Arial" w:hAnsi="Arial" w:hint="default"/>
      </w:rPr>
    </w:lvl>
    <w:lvl w:ilvl="8" w:tplc="C3B46B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317EF2"/>
    <w:multiLevelType w:val="hybridMultilevel"/>
    <w:tmpl w:val="4F0E4474"/>
    <w:lvl w:ilvl="0" w:tplc="040C0001">
      <w:start w:val="3"/>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77702D2"/>
    <w:multiLevelType w:val="hybridMultilevel"/>
    <w:tmpl w:val="AB6CE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7C731B"/>
    <w:multiLevelType w:val="hybridMultilevel"/>
    <w:tmpl w:val="491E6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B4679D"/>
    <w:multiLevelType w:val="hybridMultilevel"/>
    <w:tmpl w:val="76B47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60718F"/>
    <w:multiLevelType w:val="hybridMultilevel"/>
    <w:tmpl w:val="B6FC83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5"/>
  </w:num>
  <w:num w:numId="4">
    <w:abstractNumId w:val="18"/>
  </w:num>
  <w:num w:numId="5">
    <w:abstractNumId w:val="14"/>
  </w:num>
  <w:num w:numId="6">
    <w:abstractNumId w:val="11"/>
  </w:num>
  <w:num w:numId="7">
    <w:abstractNumId w:val="2"/>
  </w:num>
  <w:num w:numId="8">
    <w:abstractNumId w:val="7"/>
  </w:num>
  <w:num w:numId="9">
    <w:abstractNumId w:val="10"/>
  </w:num>
  <w:num w:numId="10">
    <w:abstractNumId w:val="4"/>
  </w:num>
  <w:num w:numId="11">
    <w:abstractNumId w:val="12"/>
  </w:num>
  <w:num w:numId="12">
    <w:abstractNumId w:val="3"/>
  </w:num>
  <w:num w:numId="13">
    <w:abstractNumId w:val="16"/>
  </w:num>
  <w:num w:numId="14">
    <w:abstractNumId w:val="5"/>
  </w:num>
  <w:num w:numId="15">
    <w:abstractNumId w:val="0"/>
  </w:num>
  <w:num w:numId="16">
    <w:abstractNumId w:val="1"/>
  </w:num>
  <w:num w:numId="17">
    <w:abstractNumId w:val="9"/>
  </w:num>
  <w:num w:numId="18">
    <w:abstractNumId w:val="17"/>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37"/>
    <w:rsid w:val="000006FF"/>
    <w:rsid w:val="00000C75"/>
    <w:rsid w:val="000017AE"/>
    <w:rsid w:val="000018F2"/>
    <w:rsid w:val="00001E24"/>
    <w:rsid w:val="00001FD8"/>
    <w:rsid w:val="000026BB"/>
    <w:rsid w:val="00002A1C"/>
    <w:rsid w:val="0000316C"/>
    <w:rsid w:val="0000357D"/>
    <w:rsid w:val="00003876"/>
    <w:rsid w:val="000043AF"/>
    <w:rsid w:val="000045E7"/>
    <w:rsid w:val="000046AC"/>
    <w:rsid w:val="00004F4B"/>
    <w:rsid w:val="00005076"/>
    <w:rsid w:val="0000591F"/>
    <w:rsid w:val="00005A4E"/>
    <w:rsid w:val="00005D32"/>
    <w:rsid w:val="00006844"/>
    <w:rsid w:val="00006E0F"/>
    <w:rsid w:val="000074F7"/>
    <w:rsid w:val="000075FB"/>
    <w:rsid w:val="00007F49"/>
    <w:rsid w:val="00010179"/>
    <w:rsid w:val="0001050F"/>
    <w:rsid w:val="00011567"/>
    <w:rsid w:val="000115BF"/>
    <w:rsid w:val="0001162F"/>
    <w:rsid w:val="0001195B"/>
    <w:rsid w:val="00013545"/>
    <w:rsid w:val="00013DAE"/>
    <w:rsid w:val="000152A1"/>
    <w:rsid w:val="00016348"/>
    <w:rsid w:val="00016F5F"/>
    <w:rsid w:val="0001742F"/>
    <w:rsid w:val="000204EF"/>
    <w:rsid w:val="00020ED2"/>
    <w:rsid w:val="00021C70"/>
    <w:rsid w:val="00022562"/>
    <w:rsid w:val="00022E2A"/>
    <w:rsid w:val="0002326F"/>
    <w:rsid w:val="000242D9"/>
    <w:rsid w:val="00025E6C"/>
    <w:rsid w:val="0002637C"/>
    <w:rsid w:val="00026A81"/>
    <w:rsid w:val="000306C0"/>
    <w:rsid w:val="00030B37"/>
    <w:rsid w:val="00030BC6"/>
    <w:rsid w:val="00030C97"/>
    <w:rsid w:val="00031B59"/>
    <w:rsid w:val="00032569"/>
    <w:rsid w:val="00034318"/>
    <w:rsid w:val="00036256"/>
    <w:rsid w:val="00036FA3"/>
    <w:rsid w:val="000375C5"/>
    <w:rsid w:val="000405E4"/>
    <w:rsid w:val="00040744"/>
    <w:rsid w:val="00040BDC"/>
    <w:rsid w:val="00043681"/>
    <w:rsid w:val="00043B5A"/>
    <w:rsid w:val="00045316"/>
    <w:rsid w:val="00045810"/>
    <w:rsid w:val="00045AC9"/>
    <w:rsid w:val="000466BA"/>
    <w:rsid w:val="0004674E"/>
    <w:rsid w:val="00046F15"/>
    <w:rsid w:val="00047602"/>
    <w:rsid w:val="00047E42"/>
    <w:rsid w:val="00050117"/>
    <w:rsid w:val="00050273"/>
    <w:rsid w:val="0005089E"/>
    <w:rsid w:val="00050BEB"/>
    <w:rsid w:val="000512A7"/>
    <w:rsid w:val="000516DE"/>
    <w:rsid w:val="0005199D"/>
    <w:rsid w:val="00052CC0"/>
    <w:rsid w:val="00052CF8"/>
    <w:rsid w:val="0005317A"/>
    <w:rsid w:val="000537B2"/>
    <w:rsid w:val="0005398C"/>
    <w:rsid w:val="00053E62"/>
    <w:rsid w:val="00054EB7"/>
    <w:rsid w:val="00055E60"/>
    <w:rsid w:val="0005610D"/>
    <w:rsid w:val="00057A8E"/>
    <w:rsid w:val="000606E5"/>
    <w:rsid w:val="000615F3"/>
    <w:rsid w:val="0006163D"/>
    <w:rsid w:val="00061D97"/>
    <w:rsid w:val="00062104"/>
    <w:rsid w:val="000625B8"/>
    <w:rsid w:val="0006338C"/>
    <w:rsid w:val="000645D0"/>
    <w:rsid w:val="00064982"/>
    <w:rsid w:val="00064E15"/>
    <w:rsid w:val="00065E8F"/>
    <w:rsid w:val="00065EDA"/>
    <w:rsid w:val="00066D76"/>
    <w:rsid w:val="0006737B"/>
    <w:rsid w:val="00067B1D"/>
    <w:rsid w:val="00067E55"/>
    <w:rsid w:val="00070E1A"/>
    <w:rsid w:val="0007102D"/>
    <w:rsid w:val="00071C20"/>
    <w:rsid w:val="000720AD"/>
    <w:rsid w:val="000721FC"/>
    <w:rsid w:val="000724D2"/>
    <w:rsid w:val="00072F5E"/>
    <w:rsid w:val="000732E4"/>
    <w:rsid w:val="00074B99"/>
    <w:rsid w:val="00075240"/>
    <w:rsid w:val="00075244"/>
    <w:rsid w:val="0007647A"/>
    <w:rsid w:val="000801E8"/>
    <w:rsid w:val="00080B49"/>
    <w:rsid w:val="00081552"/>
    <w:rsid w:val="00081DC8"/>
    <w:rsid w:val="000822E5"/>
    <w:rsid w:val="00083645"/>
    <w:rsid w:val="00084D7A"/>
    <w:rsid w:val="000852D6"/>
    <w:rsid w:val="00085321"/>
    <w:rsid w:val="00085396"/>
    <w:rsid w:val="0008560B"/>
    <w:rsid w:val="00087485"/>
    <w:rsid w:val="00087B43"/>
    <w:rsid w:val="00090235"/>
    <w:rsid w:val="0009051D"/>
    <w:rsid w:val="0009083E"/>
    <w:rsid w:val="00090961"/>
    <w:rsid w:val="000918D5"/>
    <w:rsid w:val="0009249B"/>
    <w:rsid w:val="000925E8"/>
    <w:rsid w:val="0009262E"/>
    <w:rsid w:val="00092E51"/>
    <w:rsid w:val="00093007"/>
    <w:rsid w:val="000935EE"/>
    <w:rsid w:val="00093756"/>
    <w:rsid w:val="00093E6C"/>
    <w:rsid w:val="000943F4"/>
    <w:rsid w:val="000951FF"/>
    <w:rsid w:val="000956DF"/>
    <w:rsid w:val="0009665C"/>
    <w:rsid w:val="00096FA6"/>
    <w:rsid w:val="00096FF5"/>
    <w:rsid w:val="00097043"/>
    <w:rsid w:val="000978E1"/>
    <w:rsid w:val="000A21CE"/>
    <w:rsid w:val="000A324B"/>
    <w:rsid w:val="000A47A5"/>
    <w:rsid w:val="000A7119"/>
    <w:rsid w:val="000A7C23"/>
    <w:rsid w:val="000B39DA"/>
    <w:rsid w:val="000B3A49"/>
    <w:rsid w:val="000B40A0"/>
    <w:rsid w:val="000B50A3"/>
    <w:rsid w:val="000B522D"/>
    <w:rsid w:val="000B52E5"/>
    <w:rsid w:val="000B54A7"/>
    <w:rsid w:val="000B5B09"/>
    <w:rsid w:val="000B6309"/>
    <w:rsid w:val="000B76F4"/>
    <w:rsid w:val="000B7BC4"/>
    <w:rsid w:val="000B7F28"/>
    <w:rsid w:val="000C0CD5"/>
    <w:rsid w:val="000C1C0D"/>
    <w:rsid w:val="000C2F7E"/>
    <w:rsid w:val="000C343E"/>
    <w:rsid w:val="000C36D1"/>
    <w:rsid w:val="000C3C0E"/>
    <w:rsid w:val="000C3D5D"/>
    <w:rsid w:val="000C3FCE"/>
    <w:rsid w:val="000C4EF8"/>
    <w:rsid w:val="000C5497"/>
    <w:rsid w:val="000C5C4E"/>
    <w:rsid w:val="000C7C81"/>
    <w:rsid w:val="000D00F5"/>
    <w:rsid w:val="000D0868"/>
    <w:rsid w:val="000D0DB4"/>
    <w:rsid w:val="000D1143"/>
    <w:rsid w:val="000D166E"/>
    <w:rsid w:val="000D25F9"/>
    <w:rsid w:val="000D2DCA"/>
    <w:rsid w:val="000D3572"/>
    <w:rsid w:val="000D35AC"/>
    <w:rsid w:val="000D389B"/>
    <w:rsid w:val="000D47D4"/>
    <w:rsid w:val="000D51D0"/>
    <w:rsid w:val="000D656A"/>
    <w:rsid w:val="000D6AFB"/>
    <w:rsid w:val="000D7EF8"/>
    <w:rsid w:val="000E0624"/>
    <w:rsid w:val="000E065E"/>
    <w:rsid w:val="000E0E23"/>
    <w:rsid w:val="000E1D7B"/>
    <w:rsid w:val="000E26F8"/>
    <w:rsid w:val="000E2BDE"/>
    <w:rsid w:val="000E48B2"/>
    <w:rsid w:val="000E4F1F"/>
    <w:rsid w:val="000E547E"/>
    <w:rsid w:val="000E5C74"/>
    <w:rsid w:val="000E6C45"/>
    <w:rsid w:val="000E7627"/>
    <w:rsid w:val="000E79AE"/>
    <w:rsid w:val="000E7B74"/>
    <w:rsid w:val="000E7E37"/>
    <w:rsid w:val="000F0846"/>
    <w:rsid w:val="000F1604"/>
    <w:rsid w:val="000F2439"/>
    <w:rsid w:val="000F24D5"/>
    <w:rsid w:val="000F26D6"/>
    <w:rsid w:val="000F2938"/>
    <w:rsid w:val="000F2D1A"/>
    <w:rsid w:val="000F2F2E"/>
    <w:rsid w:val="000F3714"/>
    <w:rsid w:val="000F3AA1"/>
    <w:rsid w:val="000F3F3C"/>
    <w:rsid w:val="000F4047"/>
    <w:rsid w:val="000F44C8"/>
    <w:rsid w:val="000F5AB7"/>
    <w:rsid w:val="000F74C1"/>
    <w:rsid w:val="00100806"/>
    <w:rsid w:val="00100E9B"/>
    <w:rsid w:val="00101CA8"/>
    <w:rsid w:val="00101CF8"/>
    <w:rsid w:val="001050E9"/>
    <w:rsid w:val="0010600E"/>
    <w:rsid w:val="00106C3F"/>
    <w:rsid w:val="00106C5D"/>
    <w:rsid w:val="00106F67"/>
    <w:rsid w:val="00107915"/>
    <w:rsid w:val="0011024F"/>
    <w:rsid w:val="00110BA7"/>
    <w:rsid w:val="00111ADE"/>
    <w:rsid w:val="00112526"/>
    <w:rsid w:val="001138A6"/>
    <w:rsid w:val="0011445B"/>
    <w:rsid w:val="00114F7D"/>
    <w:rsid w:val="00115404"/>
    <w:rsid w:val="00115506"/>
    <w:rsid w:val="00115816"/>
    <w:rsid w:val="00116A5E"/>
    <w:rsid w:val="00117E1C"/>
    <w:rsid w:val="00120894"/>
    <w:rsid w:val="00120C88"/>
    <w:rsid w:val="00122BB5"/>
    <w:rsid w:val="001231E2"/>
    <w:rsid w:val="00124572"/>
    <w:rsid w:val="0012467A"/>
    <w:rsid w:val="00127A05"/>
    <w:rsid w:val="00127FAB"/>
    <w:rsid w:val="0013065B"/>
    <w:rsid w:val="00130C53"/>
    <w:rsid w:val="0013135A"/>
    <w:rsid w:val="0013168E"/>
    <w:rsid w:val="0013203B"/>
    <w:rsid w:val="00133FF0"/>
    <w:rsid w:val="0013607A"/>
    <w:rsid w:val="00136267"/>
    <w:rsid w:val="001363AE"/>
    <w:rsid w:val="00136497"/>
    <w:rsid w:val="00137C4C"/>
    <w:rsid w:val="00141A18"/>
    <w:rsid w:val="0014354A"/>
    <w:rsid w:val="00144583"/>
    <w:rsid w:val="00144E67"/>
    <w:rsid w:val="00145ED5"/>
    <w:rsid w:val="0014764C"/>
    <w:rsid w:val="0015046F"/>
    <w:rsid w:val="00151E75"/>
    <w:rsid w:val="001535B4"/>
    <w:rsid w:val="00153E2E"/>
    <w:rsid w:val="00154CDD"/>
    <w:rsid w:val="00155EF5"/>
    <w:rsid w:val="00156AE9"/>
    <w:rsid w:val="00156B65"/>
    <w:rsid w:val="00156D7F"/>
    <w:rsid w:val="00160148"/>
    <w:rsid w:val="00161ECB"/>
    <w:rsid w:val="00162EBD"/>
    <w:rsid w:val="00163D9D"/>
    <w:rsid w:val="00164382"/>
    <w:rsid w:val="00164844"/>
    <w:rsid w:val="00166607"/>
    <w:rsid w:val="0016713D"/>
    <w:rsid w:val="00167807"/>
    <w:rsid w:val="00170DB1"/>
    <w:rsid w:val="00170FAE"/>
    <w:rsid w:val="0017150C"/>
    <w:rsid w:val="00171C5B"/>
    <w:rsid w:val="00172656"/>
    <w:rsid w:val="0017334D"/>
    <w:rsid w:val="001739F7"/>
    <w:rsid w:val="00173BDE"/>
    <w:rsid w:val="00174E75"/>
    <w:rsid w:val="0017706B"/>
    <w:rsid w:val="001804D1"/>
    <w:rsid w:val="00181343"/>
    <w:rsid w:val="00181833"/>
    <w:rsid w:val="001820CA"/>
    <w:rsid w:val="00182482"/>
    <w:rsid w:val="0018400C"/>
    <w:rsid w:val="00184690"/>
    <w:rsid w:val="00184C36"/>
    <w:rsid w:val="00185D95"/>
    <w:rsid w:val="00186BAD"/>
    <w:rsid w:val="00187341"/>
    <w:rsid w:val="0018737E"/>
    <w:rsid w:val="001874CC"/>
    <w:rsid w:val="00191131"/>
    <w:rsid w:val="00192CCC"/>
    <w:rsid w:val="00193170"/>
    <w:rsid w:val="00194461"/>
    <w:rsid w:val="00194548"/>
    <w:rsid w:val="001947D7"/>
    <w:rsid w:val="0019487D"/>
    <w:rsid w:val="00195183"/>
    <w:rsid w:val="00195928"/>
    <w:rsid w:val="00195E5B"/>
    <w:rsid w:val="001961E6"/>
    <w:rsid w:val="001A106C"/>
    <w:rsid w:val="001A1188"/>
    <w:rsid w:val="001A1A34"/>
    <w:rsid w:val="001A1F1A"/>
    <w:rsid w:val="001A2D0E"/>
    <w:rsid w:val="001A300F"/>
    <w:rsid w:val="001A3E7C"/>
    <w:rsid w:val="001A489E"/>
    <w:rsid w:val="001A4C9F"/>
    <w:rsid w:val="001A5C7E"/>
    <w:rsid w:val="001A644B"/>
    <w:rsid w:val="001B03E3"/>
    <w:rsid w:val="001B1054"/>
    <w:rsid w:val="001B15C7"/>
    <w:rsid w:val="001B18A6"/>
    <w:rsid w:val="001B32C9"/>
    <w:rsid w:val="001B5638"/>
    <w:rsid w:val="001B6322"/>
    <w:rsid w:val="001C041D"/>
    <w:rsid w:val="001C042A"/>
    <w:rsid w:val="001C06DC"/>
    <w:rsid w:val="001C0B25"/>
    <w:rsid w:val="001C0E3E"/>
    <w:rsid w:val="001C13AE"/>
    <w:rsid w:val="001C1885"/>
    <w:rsid w:val="001C1DBA"/>
    <w:rsid w:val="001C1F42"/>
    <w:rsid w:val="001C34A3"/>
    <w:rsid w:val="001C36E1"/>
    <w:rsid w:val="001C445F"/>
    <w:rsid w:val="001C5382"/>
    <w:rsid w:val="001C5423"/>
    <w:rsid w:val="001C5B78"/>
    <w:rsid w:val="001C5C98"/>
    <w:rsid w:val="001C6276"/>
    <w:rsid w:val="001C6460"/>
    <w:rsid w:val="001C6F3D"/>
    <w:rsid w:val="001D0711"/>
    <w:rsid w:val="001D0E45"/>
    <w:rsid w:val="001D148E"/>
    <w:rsid w:val="001D3108"/>
    <w:rsid w:val="001D403C"/>
    <w:rsid w:val="001D4215"/>
    <w:rsid w:val="001D45ED"/>
    <w:rsid w:val="001D4C9D"/>
    <w:rsid w:val="001D5863"/>
    <w:rsid w:val="001D5E65"/>
    <w:rsid w:val="001D7D29"/>
    <w:rsid w:val="001E08B3"/>
    <w:rsid w:val="001E0E90"/>
    <w:rsid w:val="001E1ACE"/>
    <w:rsid w:val="001E207A"/>
    <w:rsid w:val="001E20B7"/>
    <w:rsid w:val="001E22DA"/>
    <w:rsid w:val="001E2517"/>
    <w:rsid w:val="001E3045"/>
    <w:rsid w:val="001E55D2"/>
    <w:rsid w:val="001E63BB"/>
    <w:rsid w:val="001E6572"/>
    <w:rsid w:val="001E6D01"/>
    <w:rsid w:val="001E6DC6"/>
    <w:rsid w:val="001E6FF5"/>
    <w:rsid w:val="001E7E3C"/>
    <w:rsid w:val="001F0491"/>
    <w:rsid w:val="001F17B0"/>
    <w:rsid w:val="001F18F2"/>
    <w:rsid w:val="001F1955"/>
    <w:rsid w:val="001F2C26"/>
    <w:rsid w:val="001F33C4"/>
    <w:rsid w:val="001F4AF0"/>
    <w:rsid w:val="001F578F"/>
    <w:rsid w:val="001F6550"/>
    <w:rsid w:val="001F6759"/>
    <w:rsid w:val="001F78D3"/>
    <w:rsid w:val="00200143"/>
    <w:rsid w:val="0020109F"/>
    <w:rsid w:val="002019A2"/>
    <w:rsid w:val="002028F1"/>
    <w:rsid w:val="002041AA"/>
    <w:rsid w:val="00204D13"/>
    <w:rsid w:val="0020539F"/>
    <w:rsid w:val="00206138"/>
    <w:rsid w:val="00206286"/>
    <w:rsid w:val="002072B3"/>
    <w:rsid w:val="00210C15"/>
    <w:rsid w:val="00210ED8"/>
    <w:rsid w:val="00210F20"/>
    <w:rsid w:val="00210FC6"/>
    <w:rsid w:val="0021112D"/>
    <w:rsid w:val="00211CA7"/>
    <w:rsid w:val="00211E7E"/>
    <w:rsid w:val="00211ED7"/>
    <w:rsid w:val="002126BF"/>
    <w:rsid w:val="002128F1"/>
    <w:rsid w:val="002133D0"/>
    <w:rsid w:val="00214A8E"/>
    <w:rsid w:val="00215B69"/>
    <w:rsid w:val="00216BC0"/>
    <w:rsid w:val="00216D8F"/>
    <w:rsid w:val="00216E03"/>
    <w:rsid w:val="00220C38"/>
    <w:rsid w:val="00220FBE"/>
    <w:rsid w:val="0022110A"/>
    <w:rsid w:val="0022171D"/>
    <w:rsid w:val="00222DCB"/>
    <w:rsid w:val="00223419"/>
    <w:rsid w:val="00223ABD"/>
    <w:rsid w:val="00223AD6"/>
    <w:rsid w:val="00223B5A"/>
    <w:rsid w:val="0022418E"/>
    <w:rsid w:val="00225C69"/>
    <w:rsid w:val="00226120"/>
    <w:rsid w:val="00227E07"/>
    <w:rsid w:val="00227F92"/>
    <w:rsid w:val="0023016A"/>
    <w:rsid w:val="002308A7"/>
    <w:rsid w:val="002316E1"/>
    <w:rsid w:val="00231B83"/>
    <w:rsid w:val="002329A7"/>
    <w:rsid w:val="00232CDE"/>
    <w:rsid w:val="00233CEE"/>
    <w:rsid w:val="00233DBC"/>
    <w:rsid w:val="0023437F"/>
    <w:rsid w:val="00235326"/>
    <w:rsid w:val="0023581E"/>
    <w:rsid w:val="00235919"/>
    <w:rsid w:val="00236C40"/>
    <w:rsid w:val="00240299"/>
    <w:rsid w:val="00240374"/>
    <w:rsid w:val="0024109D"/>
    <w:rsid w:val="002417FD"/>
    <w:rsid w:val="002419C0"/>
    <w:rsid w:val="00242BD0"/>
    <w:rsid w:val="002430E2"/>
    <w:rsid w:val="002437FA"/>
    <w:rsid w:val="002443B2"/>
    <w:rsid w:val="00244A77"/>
    <w:rsid w:val="0024537A"/>
    <w:rsid w:val="00247F4A"/>
    <w:rsid w:val="00250913"/>
    <w:rsid w:val="00250B23"/>
    <w:rsid w:val="00250C0C"/>
    <w:rsid w:val="00250D24"/>
    <w:rsid w:val="00250E8B"/>
    <w:rsid w:val="002519D1"/>
    <w:rsid w:val="00252F31"/>
    <w:rsid w:val="00253D97"/>
    <w:rsid w:val="002546FB"/>
    <w:rsid w:val="00254944"/>
    <w:rsid w:val="00254D13"/>
    <w:rsid w:val="00254F4C"/>
    <w:rsid w:val="002552C1"/>
    <w:rsid w:val="00255CCC"/>
    <w:rsid w:val="00256457"/>
    <w:rsid w:val="00256A84"/>
    <w:rsid w:val="00256AE3"/>
    <w:rsid w:val="00260D35"/>
    <w:rsid w:val="00260E90"/>
    <w:rsid w:val="0026112B"/>
    <w:rsid w:val="0026216C"/>
    <w:rsid w:val="00263005"/>
    <w:rsid w:val="0026480F"/>
    <w:rsid w:val="0026548D"/>
    <w:rsid w:val="002656ED"/>
    <w:rsid w:val="0026682A"/>
    <w:rsid w:val="00266C08"/>
    <w:rsid w:val="00267060"/>
    <w:rsid w:val="002673FB"/>
    <w:rsid w:val="0026785C"/>
    <w:rsid w:val="00270375"/>
    <w:rsid w:val="002707AE"/>
    <w:rsid w:val="00270A9A"/>
    <w:rsid w:val="00270E02"/>
    <w:rsid w:val="00270EB5"/>
    <w:rsid w:val="002713B6"/>
    <w:rsid w:val="002715CD"/>
    <w:rsid w:val="0027242F"/>
    <w:rsid w:val="00272CB6"/>
    <w:rsid w:val="00273F6E"/>
    <w:rsid w:val="002747CF"/>
    <w:rsid w:val="002747EE"/>
    <w:rsid w:val="00274BB7"/>
    <w:rsid w:val="002753E6"/>
    <w:rsid w:val="002755BC"/>
    <w:rsid w:val="00276DF8"/>
    <w:rsid w:val="0027792E"/>
    <w:rsid w:val="00277DCB"/>
    <w:rsid w:val="002802E3"/>
    <w:rsid w:val="00280E93"/>
    <w:rsid w:val="00281202"/>
    <w:rsid w:val="00282B7B"/>
    <w:rsid w:val="00282EE3"/>
    <w:rsid w:val="00283199"/>
    <w:rsid w:val="0028394A"/>
    <w:rsid w:val="00283F51"/>
    <w:rsid w:val="00284988"/>
    <w:rsid w:val="00284F0B"/>
    <w:rsid w:val="00285E36"/>
    <w:rsid w:val="0028699D"/>
    <w:rsid w:val="002875A4"/>
    <w:rsid w:val="0029028D"/>
    <w:rsid w:val="00290344"/>
    <w:rsid w:val="00290B6C"/>
    <w:rsid w:val="00292171"/>
    <w:rsid w:val="002927F3"/>
    <w:rsid w:val="002939B5"/>
    <w:rsid w:val="00294839"/>
    <w:rsid w:val="00294AD4"/>
    <w:rsid w:val="00294B75"/>
    <w:rsid w:val="00294F65"/>
    <w:rsid w:val="00295A29"/>
    <w:rsid w:val="00295F36"/>
    <w:rsid w:val="0029719C"/>
    <w:rsid w:val="002A0110"/>
    <w:rsid w:val="002A0274"/>
    <w:rsid w:val="002A0C49"/>
    <w:rsid w:val="002A0FD8"/>
    <w:rsid w:val="002A1740"/>
    <w:rsid w:val="002A1A16"/>
    <w:rsid w:val="002A2B6C"/>
    <w:rsid w:val="002A3D91"/>
    <w:rsid w:val="002A4FE5"/>
    <w:rsid w:val="002A6F0B"/>
    <w:rsid w:val="002A7071"/>
    <w:rsid w:val="002B08A9"/>
    <w:rsid w:val="002B0C61"/>
    <w:rsid w:val="002B1399"/>
    <w:rsid w:val="002B17E5"/>
    <w:rsid w:val="002B2822"/>
    <w:rsid w:val="002B3432"/>
    <w:rsid w:val="002B34B3"/>
    <w:rsid w:val="002B3B5C"/>
    <w:rsid w:val="002B44D4"/>
    <w:rsid w:val="002B4A5C"/>
    <w:rsid w:val="002B4D91"/>
    <w:rsid w:val="002B5711"/>
    <w:rsid w:val="002C0121"/>
    <w:rsid w:val="002C21F2"/>
    <w:rsid w:val="002C2C66"/>
    <w:rsid w:val="002C2F24"/>
    <w:rsid w:val="002C3869"/>
    <w:rsid w:val="002C3A40"/>
    <w:rsid w:val="002C401F"/>
    <w:rsid w:val="002D1536"/>
    <w:rsid w:val="002D16D2"/>
    <w:rsid w:val="002D4D91"/>
    <w:rsid w:val="002D4F9D"/>
    <w:rsid w:val="002D56A6"/>
    <w:rsid w:val="002D5806"/>
    <w:rsid w:val="002D5E30"/>
    <w:rsid w:val="002D6A85"/>
    <w:rsid w:val="002D6F91"/>
    <w:rsid w:val="002D7226"/>
    <w:rsid w:val="002D7363"/>
    <w:rsid w:val="002D77EF"/>
    <w:rsid w:val="002D7BF4"/>
    <w:rsid w:val="002E16F0"/>
    <w:rsid w:val="002E1806"/>
    <w:rsid w:val="002E1823"/>
    <w:rsid w:val="002E1D6D"/>
    <w:rsid w:val="002E1E48"/>
    <w:rsid w:val="002E2B0E"/>
    <w:rsid w:val="002E2BAE"/>
    <w:rsid w:val="002E2DAA"/>
    <w:rsid w:val="002E3B9B"/>
    <w:rsid w:val="002E4594"/>
    <w:rsid w:val="002E556C"/>
    <w:rsid w:val="002E612F"/>
    <w:rsid w:val="002E6A2D"/>
    <w:rsid w:val="002E7EBC"/>
    <w:rsid w:val="002F0444"/>
    <w:rsid w:val="002F0F22"/>
    <w:rsid w:val="002F15E7"/>
    <w:rsid w:val="002F1A81"/>
    <w:rsid w:val="002F332C"/>
    <w:rsid w:val="002F49F9"/>
    <w:rsid w:val="002F59DF"/>
    <w:rsid w:val="002F5C9E"/>
    <w:rsid w:val="002F67A8"/>
    <w:rsid w:val="003003B8"/>
    <w:rsid w:val="0030083E"/>
    <w:rsid w:val="0030285B"/>
    <w:rsid w:val="00302A4F"/>
    <w:rsid w:val="00303B2A"/>
    <w:rsid w:val="00303D2A"/>
    <w:rsid w:val="003047D8"/>
    <w:rsid w:val="00304CF5"/>
    <w:rsid w:val="00304F08"/>
    <w:rsid w:val="0030619E"/>
    <w:rsid w:val="0030659F"/>
    <w:rsid w:val="00306716"/>
    <w:rsid w:val="0030777F"/>
    <w:rsid w:val="00307B1D"/>
    <w:rsid w:val="00310FC4"/>
    <w:rsid w:val="003123CF"/>
    <w:rsid w:val="0031387C"/>
    <w:rsid w:val="003142F3"/>
    <w:rsid w:val="00315345"/>
    <w:rsid w:val="00316994"/>
    <w:rsid w:val="00316D96"/>
    <w:rsid w:val="003211AA"/>
    <w:rsid w:val="0032185C"/>
    <w:rsid w:val="00324032"/>
    <w:rsid w:val="003242E9"/>
    <w:rsid w:val="00324A20"/>
    <w:rsid w:val="00325691"/>
    <w:rsid w:val="00326375"/>
    <w:rsid w:val="003272DD"/>
    <w:rsid w:val="00327A63"/>
    <w:rsid w:val="0033048D"/>
    <w:rsid w:val="003306DE"/>
    <w:rsid w:val="00330A28"/>
    <w:rsid w:val="00330D55"/>
    <w:rsid w:val="003314CD"/>
    <w:rsid w:val="00331FED"/>
    <w:rsid w:val="00332673"/>
    <w:rsid w:val="00332D3F"/>
    <w:rsid w:val="00333231"/>
    <w:rsid w:val="0033432A"/>
    <w:rsid w:val="00336704"/>
    <w:rsid w:val="003367B4"/>
    <w:rsid w:val="003367ED"/>
    <w:rsid w:val="003369B9"/>
    <w:rsid w:val="00337472"/>
    <w:rsid w:val="003375EE"/>
    <w:rsid w:val="0033780F"/>
    <w:rsid w:val="003378B0"/>
    <w:rsid w:val="0034034E"/>
    <w:rsid w:val="00340F58"/>
    <w:rsid w:val="003417D1"/>
    <w:rsid w:val="00342156"/>
    <w:rsid w:val="00344FF0"/>
    <w:rsid w:val="003465DD"/>
    <w:rsid w:val="00346775"/>
    <w:rsid w:val="00346A1F"/>
    <w:rsid w:val="00346AFB"/>
    <w:rsid w:val="00347827"/>
    <w:rsid w:val="00350348"/>
    <w:rsid w:val="00351D21"/>
    <w:rsid w:val="00353245"/>
    <w:rsid w:val="00353B3C"/>
    <w:rsid w:val="00353DBD"/>
    <w:rsid w:val="00353F47"/>
    <w:rsid w:val="00356256"/>
    <w:rsid w:val="003566A7"/>
    <w:rsid w:val="003569CA"/>
    <w:rsid w:val="00356EA8"/>
    <w:rsid w:val="0035717B"/>
    <w:rsid w:val="003612F8"/>
    <w:rsid w:val="00362077"/>
    <w:rsid w:val="003623A4"/>
    <w:rsid w:val="00362C7E"/>
    <w:rsid w:val="0036329C"/>
    <w:rsid w:val="00363547"/>
    <w:rsid w:val="00363604"/>
    <w:rsid w:val="00363FAA"/>
    <w:rsid w:val="0036417F"/>
    <w:rsid w:val="00364216"/>
    <w:rsid w:val="00366719"/>
    <w:rsid w:val="00366BBC"/>
    <w:rsid w:val="00366DC4"/>
    <w:rsid w:val="00367740"/>
    <w:rsid w:val="003705A9"/>
    <w:rsid w:val="003709A9"/>
    <w:rsid w:val="00370FF6"/>
    <w:rsid w:val="00371BD8"/>
    <w:rsid w:val="003720F9"/>
    <w:rsid w:val="003728A1"/>
    <w:rsid w:val="00372D92"/>
    <w:rsid w:val="00373E68"/>
    <w:rsid w:val="00374224"/>
    <w:rsid w:val="00375713"/>
    <w:rsid w:val="00375B04"/>
    <w:rsid w:val="00376091"/>
    <w:rsid w:val="00376354"/>
    <w:rsid w:val="00376698"/>
    <w:rsid w:val="003801F1"/>
    <w:rsid w:val="003808B0"/>
    <w:rsid w:val="00380AD0"/>
    <w:rsid w:val="00381269"/>
    <w:rsid w:val="00381A8E"/>
    <w:rsid w:val="00382820"/>
    <w:rsid w:val="0038434B"/>
    <w:rsid w:val="00384B60"/>
    <w:rsid w:val="003860FE"/>
    <w:rsid w:val="00390341"/>
    <w:rsid w:val="0039091E"/>
    <w:rsid w:val="00390BCB"/>
    <w:rsid w:val="00391307"/>
    <w:rsid w:val="0039155C"/>
    <w:rsid w:val="00391C31"/>
    <w:rsid w:val="003921E7"/>
    <w:rsid w:val="003924C6"/>
    <w:rsid w:val="00393190"/>
    <w:rsid w:val="003935DF"/>
    <w:rsid w:val="00394DCF"/>
    <w:rsid w:val="0039676D"/>
    <w:rsid w:val="00397014"/>
    <w:rsid w:val="003A0A58"/>
    <w:rsid w:val="003A10A7"/>
    <w:rsid w:val="003A16C1"/>
    <w:rsid w:val="003A2148"/>
    <w:rsid w:val="003A3E54"/>
    <w:rsid w:val="003A3EF8"/>
    <w:rsid w:val="003A408F"/>
    <w:rsid w:val="003A4749"/>
    <w:rsid w:val="003A4F64"/>
    <w:rsid w:val="003A6143"/>
    <w:rsid w:val="003B0C1A"/>
    <w:rsid w:val="003B0D60"/>
    <w:rsid w:val="003B0F4A"/>
    <w:rsid w:val="003B186C"/>
    <w:rsid w:val="003B2527"/>
    <w:rsid w:val="003B2B16"/>
    <w:rsid w:val="003B395C"/>
    <w:rsid w:val="003B471D"/>
    <w:rsid w:val="003B4C4F"/>
    <w:rsid w:val="003B5EA2"/>
    <w:rsid w:val="003B66AF"/>
    <w:rsid w:val="003B6BB0"/>
    <w:rsid w:val="003B6CC8"/>
    <w:rsid w:val="003B7080"/>
    <w:rsid w:val="003B7767"/>
    <w:rsid w:val="003B7DBA"/>
    <w:rsid w:val="003C08AC"/>
    <w:rsid w:val="003C0D7E"/>
    <w:rsid w:val="003C1748"/>
    <w:rsid w:val="003C2A4D"/>
    <w:rsid w:val="003C478E"/>
    <w:rsid w:val="003C486A"/>
    <w:rsid w:val="003C5E69"/>
    <w:rsid w:val="003C66F9"/>
    <w:rsid w:val="003C6C8D"/>
    <w:rsid w:val="003D1435"/>
    <w:rsid w:val="003D2AF2"/>
    <w:rsid w:val="003D2CC6"/>
    <w:rsid w:val="003D3ED7"/>
    <w:rsid w:val="003D4EC4"/>
    <w:rsid w:val="003D5365"/>
    <w:rsid w:val="003D5BEA"/>
    <w:rsid w:val="003D5ED4"/>
    <w:rsid w:val="003D6045"/>
    <w:rsid w:val="003D721F"/>
    <w:rsid w:val="003D77EC"/>
    <w:rsid w:val="003E1285"/>
    <w:rsid w:val="003E1C9F"/>
    <w:rsid w:val="003E244D"/>
    <w:rsid w:val="003E3617"/>
    <w:rsid w:val="003E39CA"/>
    <w:rsid w:val="003E49B3"/>
    <w:rsid w:val="003E4DF3"/>
    <w:rsid w:val="003E55AA"/>
    <w:rsid w:val="003E5F3B"/>
    <w:rsid w:val="003E5FC8"/>
    <w:rsid w:val="003E666F"/>
    <w:rsid w:val="003E7411"/>
    <w:rsid w:val="003F2410"/>
    <w:rsid w:val="003F248E"/>
    <w:rsid w:val="003F2B70"/>
    <w:rsid w:val="003F2C51"/>
    <w:rsid w:val="003F3FAC"/>
    <w:rsid w:val="003F4365"/>
    <w:rsid w:val="003F4FEC"/>
    <w:rsid w:val="003F53F3"/>
    <w:rsid w:val="003F561E"/>
    <w:rsid w:val="003F7F92"/>
    <w:rsid w:val="00400232"/>
    <w:rsid w:val="00401780"/>
    <w:rsid w:val="00402EA0"/>
    <w:rsid w:val="00404586"/>
    <w:rsid w:val="00404A82"/>
    <w:rsid w:val="00404B75"/>
    <w:rsid w:val="00404C53"/>
    <w:rsid w:val="004051BC"/>
    <w:rsid w:val="004055E9"/>
    <w:rsid w:val="004061D8"/>
    <w:rsid w:val="00406887"/>
    <w:rsid w:val="00407057"/>
    <w:rsid w:val="00407596"/>
    <w:rsid w:val="0041265B"/>
    <w:rsid w:val="00412EDA"/>
    <w:rsid w:val="00415AC0"/>
    <w:rsid w:val="00415AF3"/>
    <w:rsid w:val="00415BD7"/>
    <w:rsid w:val="0041600D"/>
    <w:rsid w:val="004160AF"/>
    <w:rsid w:val="00416797"/>
    <w:rsid w:val="00416CF0"/>
    <w:rsid w:val="004170EF"/>
    <w:rsid w:val="00417EA3"/>
    <w:rsid w:val="004202EB"/>
    <w:rsid w:val="00421108"/>
    <w:rsid w:val="00422DF0"/>
    <w:rsid w:val="0042343C"/>
    <w:rsid w:val="0042539D"/>
    <w:rsid w:val="0042676E"/>
    <w:rsid w:val="004275EE"/>
    <w:rsid w:val="00427A84"/>
    <w:rsid w:val="00427AEE"/>
    <w:rsid w:val="00427E82"/>
    <w:rsid w:val="004302E9"/>
    <w:rsid w:val="004306E4"/>
    <w:rsid w:val="0043106E"/>
    <w:rsid w:val="0043255C"/>
    <w:rsid w:val="00433C36"/>
    <w:rsid w:val="004348AA"/>
    <w:rsid w:val="0043643E"/>
    <w:rsid w:val="00437488"/>
    <w:rsid w:val="00440907"/>
    <w:rsid w:val="00440BF4"/>
    <w:rsid w:val="00440D08"/>
    <w:rsid w:val="00440DED"/>
    <w:rsid w:val="00441901"/>
    <w:rsid w:val="00441A1A"/>
    <w:rsid w:val="00441C09"/>
    <w:rsid w:val="004425BA"/>
    <w:rsid w:val="00443337"/>
    <w:rsid w:val="004439EB"/>
    <w:rsid w:val="00443CB3"/>
    <w:rsid w:val="00444300"/>
    <w:rsid w:val="0044440F"/>
    <w:rsid w:val="004444C2"/>
    <w:rsid w:val="00444906"/>
    <w:rsid w:val="004455B9"/>
    <w:rsid w:val="00446CE3"/>
    <w:rsid w:val="00447CAF"/>
    <w:rsid w:val="00450AB2"/>
    <w:rsid w:val="0045112F"/>
    <w:rsid w:val="0045127F"/>
    <w:rsid w:val="004512D6"/>
    <w:rsid w:val="00452731"/>
    <w:rsid w:val="00452D92"/>
    <w:rsid w:val="0045370A"/>
    <w:rsid w:val="00453AA9"/>
    <w:rsid w:val="0045549D"/>
    <w:rsid w:val="00455D34"/>
    <w:rsid w:val="00456646"/>
    <w:rsid w:val="00456C35"/>
    <w:rsid w:val="004573B6"/>
    <w:rsid w:val="004574C9"/>
    <w:rsid w:val="0045756E"/>
    <w:rsid w:val="0045797B"/>
    <w:rsid w:val="00457F9B"/>
    <w:rsid w:val="00460029"/>
    <w:rsid w:val="0046085F"/>
    <w:rsid w:val="00460A20"/>
    <w:rsid w:val="00461ABC"/>
    <w:rsid w:val="00462CA2"/>
    <w:rsid w:val="00463397"/>
    <w:rsid w:val="00464747"/>
    <w:rsid w:val="0046526F"/>
    <w:rsid w:val="00465C38"/>
    <w:rsid w:val="00466117"/>
    <w:rsid w:val="00466384"/>
    <w:rsid w:val="00466648"/>
    <w:rsid w:val="00466F08"/>
    <w:rsid w:val="00467105"/>
    <w:rsid w:val="004676D6"/>
    <w:rsid w:val="00467C2A"/>
    <w:rsid w:val="00471AED"/>
    <w:rsid w:val="00471F45"/>
    <w:rsid w:val="0047290C"/>
    <w:rsid w:val="004730D0"/>
    <w:rsid w:val="004737F8"/>
    <w:rsid w:val="00473BE0"/>
    <w:rsid w:val="004744B9"/>
    <w:rsid w:val="00475745"/>
    <w:rsid w:val="0047587C"/>
    <w:rsid w:val="00475BB0"/>
    <w:rsid w:val="00476E3F"/>
    <w:rsid w:val="004807FB"/>
    <w:rsid w:val="004811E9"/>
    <w:rsid w:val="004813E5"/>
    <w:rsid w:val="004816DF"/>
    <w:rsid w:val="00481FF2"/>
    <w:rsid w:val="00483DAB"/>
    <w:rsid w:val="004840D8"/>
    <w:rsid w:val="00484385"/>
    <w:rsid w:val="00484403"/>
    <w:rsid w:val="00484CCD"/>
    <w:rsid w:val="004864AA"/>
    <w:rsid w:val="004900DC"/>
    <w:rsid w:val="00490EE7"/>
    <w:rsid w:val="0049189E"/>
    <w:rsid w:val="004922BC"/>
    <w:rsid w:val="00496584"/>
    <w:rsid w:val="00496AB3"/>
    <w:rsid w:val="00496D6B"/>
    <w:rsid w:val="004A079D"/>
    <w:rsid w:val="004A149F"/>
    <w:rsid w:val="004A1C9E"/>
    <w:rsid w:val="004A2B00"/>
    <w:rsid w:val="004A2EE1"/>
    <w:rsid w:val="004A3774"/>
    <w:rsid w:val="004A6538"/>
    <w:rsid w:val="004A6786"/>
    <w:rsid w:val="004A6FE8"/>
    <w:rsid w:val="004A732B"/>
    <w:rsid w:val="004A74BB"/>
    <w:rsid w:val="004B0D16"/>
    <w:rsid w:val="004B26F2"/>
    <w:rsid w:val="004B2D84"/>
    <w:rsid w:val="004B310A"/>
    <w:rsid w:val="004B3CD8"/>
    <w:rsid w:val="004B7BF9"/>
    <w:rsid w:val="004C0353"/>
    <w:rsid w:val="004C0DFF"/>
    <w:rsid w:val="004C2744"/>
    <w:rsid w:val="004C2B01"/>
    <w:rsid w:val="004C45D7"/>
    <w:rsid w:val="004C4A84"/>
    <w:rsid w:val="004C5FF2"/>
    <w:rsid w:val="004C64CA"/>
    <w:rsid w:val="004C66BD"/>
    <w:rsid w:val="004C7CD1"/>
    <w:rsid w:val="004C7D94"/>
    <w:rsid w:val="004D0A91"/>
    <w:rsid w:val="004D1EE9"/>
    <w:rsid w:val="004D430C"/>
    <w:rsid w:val="004D4B51"/>
    <w:rsid w:val="004D5179"/>
    <w:rsid w:val="004D5227"/>
    <w:rsid w:val="004D5390"/>
    <w:rsid w:val="004D608D"/>
    <w:rsid w:val="004D616C"/>
    <w:rsid w:val="004D6A21"/>
    <w:rsid w:val="004D6AD7"/>
    <w:rsid w:val="004D6CDE"/>
    <w:rsid w:val="004D6D9C"/>
    <w:rsid w:val="004D77BF"/>
    <w:rsid w:val="004D79F4"/>
    <w:rsid w:val="004E032C"/>
    <w:rsid w:val="004E05B4"/>
    <w:rsid w:val="004E14E4"/>
    <w:rsid w:val="004E18D2"/>
    <w:rsid w:val="004E3CAC"/>
    <w:rsid w:val="004E3DFE"/>
    <w:rsid w:val="004E600E"/>
    <w:rsid w:val="004E7356"/>
    <w:rsid w:val="004E7627"/>
    <w:rsid w:val="004F0773"/>
    <w:rsid w:val="004F1F2F"/>
    <w:rsid w:val="004F2E0A"/>
    <w:rsid w:val="004F3983"/>
    <w:rsid w:val="004F48A1"/>
    <w:rsid w:val="004F4C3E"/>
    <w:rsid w:val="004F533E"/>
    <w:rsid w:val="004F670B"/>
    <w:rsid w:val="004F68AD"/>
    <w:rsid w:val="004F778C"/>
    <w:rsid w:val="00500217"/>
    <w:rsid w:val="00500D9E"/>
    <w:rsid w:val="00500F3F"/>
    <w:rsid w:val="0050105B"/>
    <w:rsid w:val="0050280C"/>
    <w:rsid w:val="0050322E"/>
    <w:rsid w:val="00504F08"/>
    <w:rsid w:val="0050587C"/>
    <w:rsid w:val="005058B0"/>
    <w:rsid w:val="00505B31"/>
    <w:rsid w:val="00505B74"/>
    <w:rsid w:val="00506072"/>
    <w:rsid w:val="00506657"/>
    <w:rsid w:val="00506707"/>
    <w:rsid w:val="005068C8"/>
    <w:rsid w:val="005074EC"/>
    <w:rsid w:val="00507F41"/>
    <w:rsid w:val="00510741"/>
    <w:rsid w:val="005121CE"/>
    <w:rsid w:val="00512342"/>
    <w:rsid w:val="00513032"/>
    <w:rsid w:val="00513393"/>
    <w:rsid w:val="0051437C"/>
    <w:rsid w:val="00514420"/>
    <w:rsid w:val="00514656"/>
    <w:rsid w:val="00514DB7"/>
    <w:rsid w:val="005154E4"/>
    <w:rsid w:val="005160F0"/>
    <w:rsid w:val="0051628E"/>
    <w:rsid w:val="005163EB"/>
    <w:rsid w:val="005168F6"/>
    <w:rsid w:val="005169CF"/>
    <w:rsid w:val="00517154"/>
    <w:rsid w:val="00517182"/>
    <w:rsid w:val="005171C3"/>
    <w:rsid w:val="005212E0"/>
    <w:rsid w:val="00521436"/>
    <w:rsid w:val="00521890"/>
    <w:rsid w:val="005223EE"/>
    <w:rsid w:val="00522911"/>
    <w:rsid w:val="005229C9"/>
    <w:rsid w:val="00522F17"/>
    <w:rsid w:val="00523785"/>
    <w:rsid w:val="00523A98"/>
    <w:rsid w:val="005246AA"/>
    <w:rsid w:val="00524BE2"/>
    <w:rsid w:val="00526242"/>
    <w:rsid w:val="0052656F"/>
    <w:rsid w:val="005267DB"/>
    <w:rsid w:val="00526A95"/>
    <w:rsid w:val="00526B2D"/>
    <w:rsid w:val="00526B4B"/>
    <w:rsid w:val="00526E6B"/>
    <w:rsid w:val="00527100"/>
    <w:rsid w:val="005304E6"/>
    <w:rsid w:val="005305D4"/>
    <w:rsid w:val="005309E6"/>
    <w:rsid w:val="0053140C"/>
    <w:rsid w:val="0053188C"/>
    <w:rsid w:val="00531A43"/>
    <w:rsid w:val="00532CD4"/>
    <w:rsid w:val="00535003"/>
    <w:rsid w:val="0053602E"/>
    <w:rsid w:val="00536131"/>
    <w:rsid w:val="005405DB"/>
    <w:rsid w:val="005410C4"/>
    <w:rsid w:val="00541F69"/>
    <w:rsid w:val="00542BCF"/>
    <w:rsid w:val="00542C01"/>
    <w:rsid w:val="00544D51"/>
    <w:rsid w:val="00546BA9"/>
    <w:rsid w:val="00547AD6"/>
    <w:rsid w:val="0055150C"/>
    <w:rsid w:val="00554B84"/>
    <w:rsid w:val="00554C33"/>
    <w:rsid w:val="005571F0"/>
    <w:rsid w:val="0055789C"/>
    <w:rsid w:val="00560067"/>
    <w:rsid w:val="0056060F"/>
    <w:rsid w:val="00560A08"/>
    <w:rsid w:val="00560E9D"/>
    <w:rsid w:val="0056190D"/>
    <w:rsid w:val="005623BA"/>
    <w:rsid w:val="00563673"/>
    <w:rsid w:val="00564E82"/>
    <w:rsid w:val="005653D8"/>
    <w:rsid w:val="0056553F"/>
    <w:rsid w:val="005668A0"/>
    <w:rsid w:val="00566CA6"/>
    <w:rsid w:val="00571732"/>
    <w:rsid w:val="00571BC4"/>
    <w:rsid w:val="00571D0E"/>
    <w:rsid w:val="00571DC8"/>
    <w:rsid w:val="005721BC"/>
    <w:rsid w:val="00573D97"/>
    <w:rsid w:val="00574E26"/>
    <w:rsid w:val="0057526A"/>
    <w:rsid w:val="00576061"/>
    <w:rsid w:val="0057623C"/>
    <w:rsid w:val="0057744F"/>
    <w:rsid w:val="00580796"/>
    <w:rsid w:val="00580A4F"/>
    <w:rsid w:val="00582A2C"/>
    <w:rsid w:val="00582FA5"/>
    <w:rsid w:val="005830D2"/>
    <w:rsid w:val="005833BF"/>
    <w:rsid w:val="00584901"/>
    <w:rsid w:val="005856AB"/>
    <w:rsid w:val="00587B2C"/>
    <w:rsid w:val="00587E6E"/>
    <w:rsid w:val="00587EAA"/>
    <w:rsid w:val="00591958"/>
    <w:rsid w:val="005924CF"/>
    <w:rsid w:val="00594029"/>
    <w:rsid w:val="00594360"/>
    <w:rsid w:val="005949EF"/>
    <w:rsid w:val="00594C30"/>
    <w:rsid w:val="005967DF"/>
    <w:rsid w:val="00596D99"/>
    <w:rsid w:val="00596EE8"/>
    <w:rsid w:val="00596F1C"/>
    <w:rsid w:val="005971C2"/>
    <w:rsid w:val="00597225"/>
    <w:rsid w:val="005A21A8"/>
    <w:rsid w:val="005A2BC6"/>
    <w:rsid w:val="005A3962"/>
    <w:rsid w:val="005A4030"/>
    <w:rsid w:val="005A48D2"/>
    <w:rsid w:val="005A4F2E"/>
    <w:rsid w:val="005A51C1"/>
    <w:rsid w:val="005A5500"/>
    <w:rsid w:val="005A55B1"/>
    <w:rsid w:val="005A5DF1"/>
    <w:rsid w:val="005A646C"/>
    <w:rsid w:val="005A711F"/>
    <w:rsid w:val="005A75B2"/>
    <w:rsid w:val="005A77C6"/>
    <w:rsid w:val="005B0810"/>
    <w:rsid w:val="005B167D"/>
    <w:rsid w:val="005B3D5A"/>
    <w:rsid w:val="005B3E6D"/>
    <w:rsid w:val="005B4C20"/>
    <w:rsid w:val="005B70D4"/>
    <w:rsid w:val="005B7652"/>
    <w:rsid w:val="005B7907"/>
    <w:rsid w:val="005C003D"/>
    <w:rsid w:val="005C0B5D"/>
    <w:rsid w:val="005C1ADD"/>
    <w:rsid w:val="005C321D"/>
    <w:rsid w:val="005C393B"/>
    <w:rsid w:val="005C3DBB"/>
    <w:rsid w:val="005C408D"/>
    <w:rsid w:val="005C499E"/>
    <w:rsid w:val="005C6394"/>
    <w:rsid w:val="005C7F18"/>
    <w:rsid w:val="005D02EB"/>
    <w:rsid w:val="005D08A2"/>
    <w:rsid w:val="005D08B7"/>
    <w:rsid w:val="005D0A22"/>
    <w:rsid w:val="005D0C38"/>
    <w:rsid w:val="005D2160"/>
    <w:rsid w:val="005D4B77"/>
    <w:rsid w:val="005D56C3"/>
    <w:rsid w:val="005D7556"/>
    <w:rsid w:val="005D76A9"/>
    <w:rsid w:val="005E00A1"/>
    <w:rsid w:val="005E0843"/>
    <w:rsid w:val="005E0ED7"/>
    <w:rsid w:val="005E17D6"/>
    <w:rsid w:val="005E1A24"/>
    <w:rsid w:val="005E23D5"/>
    <w:rsid w:val="005E30EF"/>
    <w:rsid w:val="005E3321"/>
    <w:rsid w:val="005E39E1"/>
    <w:rsid w:val="005E580C"/>
    <w:rsid w:val="005E6B5F"/>
    <w:rsid w:val="005E7178"/>
    <w:rsid w:val="005E7975"/>
    <w:rsid w:val="005E79E7"/>
    <w:rsid w:val="005E7D54"/>
    <w:rsid w:val="005E7E96"/>
    <w:rsid w:val="005F150D"/>
    <w:rsid w:val="005F2061"/>
    <w:rsid w:val="005F20BE"/>
    <w:rsid w:val="005F458A"/>
    <w:rsid w:val="005F5058"/>
    <w:rsid w:val="005F5103"/>
    <w:rsid w:val="005F756A"/>
    <w:rsid w:val="005F7C5F"/>
    <w:rsid w:val="005F7CC4"/>
    <w:rsid w:val="006004AD"/>
    <w:rsid w:val="00601403"/>
    <w:rsid w:val="006015C6"/>
    <w:rsid w:val="006019C7"/>
    <w:rsid w:val="0060437F"/>
    <w:rsid w:val="00604F9B"/>
    <w:rsid w:val="00605FAC"/>
    <w:rsid w:val="006069AA"/>
    <w:rsid w:val="0060701C"/>
    <w:rsid w:val="00607CFE"/>
    <w:rsid w:val="006103D7"/>
    <w:rsid w:val="00611A46"/>
    <w:rsid w:val="006132C9"/>
    <w:rsid w:val="0061383D"/>
    <w:rsid w:val="00614C71"/>
    <w:rsid w:val="00615DB2"/>
    <w:rsid w:val="00616732"/>
    <w:rsid w:val="0061684D"/>
    <w:rsid w:val="00616AF4"/>
    <w:rsid w:val="006176F4"/>
    <w:rsid w:val="00617818"/>
    <w:rsid w:val="006202D3"/>
    <w:rsid w:val="006203E2"/>
    <w:rsid w:val="00620837"/>
    <w:rsid w:val="00620A5D"/>
    <w:rsid w:val="00621381"/>
    <w:rsid w:val="00622554"/>
    <w:rsid w:val="00622B76"/>
    <w:rsid w:val="00622EC4"/>
    <w:rsid w:val="006240E9"/>
    <w:rsid w:val="006243E6"/>
    <w:rsid w:val="00624AF5"/>
    <w:rsid w:val="00624F29"/>
    <w:rsid w:val="006258AD"/>
    <w:rsid w:val="00625A23"/>
    <w:rsid w:val="00626AD4"/>
    <w:rsid w:val="006304A0"/>
    <w:rsid w:val="00632BC5"/>
    <w:rsid w:val="006334DA"/>
    <w:rsid w:val="00633EC2"/>
    <w:rsid w:val="00634A85"/>
    <w:rsid w:val="006370E8"/>
    <w:rsid w:val="006409C7"/>
    <w:rsid w:val="006418ED"/>
    <w:rsid w:val="00642625"/>
    <w:rsid w:val="00643321"/>
    <w:rsid w:val="00644FB8"/>
    <w:rsid w:val="00645A1B"/>
    <w:rsid w:val="00646FAC"/>
    <w:rsid w:val="00647204"/>
    <w:rsid w:val="0064744F"/>
    <w:rsid w:val="006513BC"/>
    <w:rsid w:val="00651BD6"/>
    <w:rsid w:val="00651D38"/>
    <w:rsid w:val="006524AF"/>
    <w:rsid w:val="00652702"/>
    <w:rsid w:val="006531D2"/>
    <w:rsid w:val="006538CD"/>
    <w:rsid w:val="006539B3"/>
    <w:rsid w:val="00654F9E"/>
    <w:rsid w:val="00655251"/>
    <w:rsid w:val="006556CE"/>
    <w:rsid w:val="00656E0C"/>
    <w:rsid w:val="006579E5"/>
    <w:rsid w:val="00660A81"/>
    <w:rsid w:val="00660E5F"/>
    <w:rsid w:val="006616AE"/>
    <w:rsid w:val="006617D6"/>
    <w:rsid w:val="00661E04"/>
    <w:rsid w:val="006621D3"/>
    <w:rsid w:val="0066321C"/>
    <w:rsid w:val="006647CA"/>
    <w:rsid w:val="0066480F"/>
    <w:rsid w:val="006659DA"/>
    <w:rsid w:val="0066605D"/>
    <w:rsid w:val="0066650F"/>
    <w:rsid w:val="0066678D"/>
    <w:rsid w:val="00666886"/>
    <w:rsid w:val="006671EE"/>
    <w:rsid w:val="0066794E"/>
    <w:rsid w:val="006711CD"/>
    <w:rsid w:val="006742D5"/>
    <w:rsid w:val="0067464A"/>
    <w:rsid w:val="0068089A"/>
    <w:rsid w:val="006812EB"/>
    <w:rsid w:val="00681D03"/>
    <w:rsid w:val="00682DB9"/>
    <w:rsid w:val="00684577"/>
    <w:rsid w:val="006849E8"/>
    <w:rsid w:val="0068570A"/>
    <w:rsid w:val="006858B4"/>
    <w:rsid w:val="0068624C"/>
    <w:rsid w:val="00686387"/>
    <w:rsid w:val="00686562"/>
    <w:rsid w:val="0068732B"/>
    <w:rsid w:val="00687439"/>
    <w:rsid w:val="0068760F"/>
    <w:rsid w:val="00690282"/>
    <w:rsid w:val="00690569"/>
    <w:rsid w:val="006909FD"/>
    <w:rsid w:val="00690D03"/>
    <w:rsid w:val="006914A2"/>
    <w:rsid w:val="006918B9"/>
    <w:rsid w:val="00694590"/>
    <w:rsid w:val="0069474C"/>
    <w:rsid w:val="00694866"/>
    <w:rsid w:val="0069639F"/>
    <w:rsid w:val="0069743A"/>
    <w:rsid w:val="00697953"/>
    <w:rsid w:val="00697D86"/>
    <w:rsid w:val="006A1671"/>
    <w:rsid w:val="006A1F2A"/>
    <w:rsid w:val="006A1FA4"/>
    <w:rsid w:val="006A2C81"/>
    <w:rsid w:val="006A2CB4"/>
    <w:rsid w:val="006A44FD"/>
    <w:rsid w:val="006A4871"/>
    <w:rsid w:val="006A5DA2"/>
    <w:rsid w:val="006A5E17"/>
    <w:rsid w:val="006A5EE5"/>
    <w:rsid w:val="006A71EF"/>
    <w:rsid w:val="006A776C"/>
    <w:rsid w:val="006A7DE7"/>
    <w:rsid w:val="006B039F"/>
    <w:rsid w:val="006B05F7"/>
    <w:rsid w:val="006B079B"/>
    <w:rsid w:val="006B091D"/>
    <w:rsid w:val="006B0EF1"/>
    <w:rsid w:val="006B140E"/>
    <w:rsid w:val="006B176C"/>
    <w:rsid w:val="006B35E6"/>
    <w:rsid w:val="006B3D47"/>
    <w:rsid w:val="006B4741"/>
    <w:rsid w:val="006B528C"/>
    <w:rsid w:val="006B5A14"/>
    <w:rsid w:val="006B79D0"/>
    <w:rsid w:val="006B7DB2"/>
    <w:rsid w:val="006B7F7A"/>
    <w:rsid w:val="006C0497"/>
    <w:rsid w:val="006C0B2A"/>
    <w:rsid w:val="006C2165"/>
    <w:rsid w:val="006C3097"/>
    <w:rsid w:val="006C43AD"/>
    <w:rsid w:val="006C4B4D"/>
    <w:rsid w:val="006C5697"/>
    <w:rsid w:val="006C5FCA"/>
    <w:rsid w:val="006C6235"/>
    <w:rsid w:val="006C6D5C"/>
    <w:rsid w:val="006C7A91"/>
    <w:rsid w:val="006D09BB"/>
    <w:rsid w:val="006D214F"/>
    <w:rsid w:val="006D2278"/>
    <w:rsid w:val="006D2526"/>
    <w:rsid w:val="006D4649"/>
    <w:rsid w:val="006D636F"/>
    <w:rsid w:val="006D75B2"/>
    <w:rsid w:val="006D784C"/>
    <w:rsid w:val="006E0646"/>
    <w:rsid w:val="006E0976"/>
    <w:rsid w:val="006E16C0"/>
    <w:rsid w:val="006E1798"/>
    <w:rsid w:val="006E1EA3"/>
    <w:rsid w:val="006E1FC7"/>
    <w:rsid w:val="006E2300"/>
    <w:rsid w:val="006E2828"/>
    <w:rsid w:val="006E3035"/>
    <w:rsid w:val="006E3728"/>
    <w:rsid w:val="006E3F6B"/>
    <w:rsid w:val="006E5628"/>
    <w:rsid w:val="006E598F"/>
    <w:rsid w:val="006E656D"/>
    <w:rsid w:val="006E6BF9"/>
    <w:rsid w:val="006E7D2F"/>
    <w:rsid w:val="006F0217"/>
    <w:rsid w:val="006F2036"/>
    <w:rsid w:val="006F3613"/>
    <w:rsid w:val="006F7CD7"/>
    <w:rsid w:val="007008B7"/>
    <w:rsid w:val="00702054"/>
    <w:rsid w:val="00702178"/>
    <w:rsid w:val="00702339"/>
    <w:rsid w:val="0070270D"/>
    <w:rsid w:val="00702C8E"/>
    <w:rsid w:val="0070346B"/>
    <w:rsid w:val="007040D0"/>
    <w:rsid w:val="00704BB2"/>
    <w:rsid w:val="00704EC7"/>
    <w:rsid w:val="00704F2A"/>
    <w:rsid w:val="007053E9"/>
    <w:rsid w:val="00705478"/>
    <w:rsid w:val="00705520"/>
    <w:rsid w:val="0070596D"/>
    <w:rsid w:val="00705FE7"/>
    <w:rsid w:val="007070B2"/>
    <w:rsid w:val="00710839"/>
    <w:rsid w:val="007109AC"/>
    <w:rsid w:val="007111EF"/>
    <w:rsid w:val="007115FA"/>
    <w:rsid w:val="007116CB"/>
    <w:rsid w:val="00711826"/>
    <w:rsid w:val="00713558"/>
    <w:rsid w:val="0071399F"/>
    <w:rsid w:val="00713E52"/>
    <w:rsid w:val="0071658F"/>
    <w:rsid w:val="007171C3"/>
    <w:rsid w:val="00717386"/>
    <w:rsid w:val="00717535"/>
    <w:rsid w:val="00720192"/>
    <w:rsid w:val="007203E6"/>
    <w:rsid w:val="00721CB9"/>
    <w:rsid w:val="00722C22"/>
    <w:rsid w:val="00722E5F"/>
    <w:rsid w:val="00723309"/>
    <w:rsid w:val="00723EE9"/>
    <w:rsid w:val="00724177"/>
    <w:rsid w:val="007252CA"/>
    <w:rsid w:val="0072551E"/>
    <w:rsid w:val="0072580F"/>
    <w:rsid w:val="007262AE"/>
    <w:rsid w:val="007262F5"/>
    <w:rsid w:val="007267B8"/>
    <w:rsid w:val="0072682E"/>
    <w:rsid w:val="0072683D"/>
    <w:rsid w:val="0072748B"/>
    <w:rsid w:val="00730499"/>
    <w:rsid w:val="0073112D"/>
    <w:rsid w:val="00731D80"/>
    <w:rsid w:val="007322A2"/>
    <w:rsid w:val="007324AA"/>
    <w:rsid w:val="0073251B"/>
    <w:rsid w:val="007327B5"/>
    <w:rsid w:val="007327E2"/>
    <w:rsid w:val="007338C2"/>
    <w:rsid w:val="007341C1"/>
    <w:rsid w:val="00734913"/>
    <w:rsid w:val="00737EE7"/>
    <w:rsid w:val="007403CB"/>
    <w:rsid w:val="00740DFE"/>
    <w:rsid w:val="007410FF"/>
    <w:rsid w:val="00741281"/>
    <w:rsid w:val="00741C18"/>
    <w:rsid w:val="007432B7"/>
    <w:rsid w:val="00743723"/>
    <w:rsid w:val="00743DBE"/>
    <w:rsid w:val="00744FA5"/>
    <w:rsid w:val="00746054"/>
    <w:rsid w:val="00750EF0"/>
    <w:rsid w:val="007516EE"/>
    <w:rsid w:val="00752935"/>
    <w:rsid w:val="0075370A"/>
    <w:rsid w:val="007539C6"/>
    <w:rsid w:val="00754A50"/>
    <w:rsid w:val="00754D0C"/>
    <w:rsid w:val="0075502F"/>
    <w:rsid w:val="00755A2B"/>
    <w:rsid w:val="00755FB5"/>
    <w:rsid w:val="00756EEE"/>
    <w:rsid w:val="0076037F"/>
    <w:rsid w:val="007603E7"/>
    <w:rsid w:val="007625DA"/>
    <w:rsid w:val="00763C16"/>
    <w:rsid w:val="0076491F"/>
    <w:rsid w:val="00765273"/>
    <w:rsid w:val="00765FA4"/>
    <w:rsid w:val="007678AC"/>
    <w:rsid w:val="00767F1C"/>
    <w:rsid w:val="00770539"/>
    <w:rsid w:val="00773317"/>
    <w:rsid w:val="007735A2"/>
    <w:rsid w:val="007737EE"/>
    <w:rsid w:val="00774576"/>
    <w:rsid w:val="00774E90"/>
    <w:rsid w:val="00774EB6"/>
    <w:rsid w:val="0077532F"/>
    <w:rsid w:val="00775423"/>
    <w:rsid w:val="0077579D"/>
    <w:rsid w:val="00775803"/>
    <w:rsid w:val="00777773"/>
    <w:rsid w:val="007802C4"/>
    <w:rsid w:val="007807DD"/>
    <w:rsid w:val="00780962"/>
    <w:rsid w:val="0078148E"/>
    <w:rsid w:val="00781809"/>
    <w:rsid w:val="00782700"/>
    <w:rsid w:val="007828D1"/>
    <w:rsid w:val="007829AF"/>
    <w:rsid w:val="00782D0A"/>
    <w:rsid w:val="00783336"/>
    <w:rsid w:val="0078383F"/>
    <w:rsid w:val="00783C82"/>
    <w:rsid w:val="0078454D"/>
    <w:rsid w:val="00785E3F"/>
    <w:rsid w:val="0078630C"/>
    <w:rsid w:val="007868E1"/>
    <w:rsid w:val="0078763F"/>
    <w:rsid w:val="00787FD0"/>
    <w:rsid w:val="007901B8"/>
    <w:rsid w:val="0079062D"/>
    <w:rsid w:val="00791C6D"/>
    <w:rsid w:val="00792894"/>
    <w:rsid w:val="00792B96"/>
    <w:rsid w:val="007948F8"/>
    <w:rsid w:val="0079499B"/>
    <w:rsid w:val="007975B7"/>
    <w:rsid w:val="00797A4B"/>
    <w:rsid w:val="00797D28"/>
    <w:rsid w:val="007A1138"/>
    <w:rsid w:val="007A1F81"/>
    <w:rsid w:val="007A25CF"/>
    <w:rsid w:val="007A3BDC"/>
    <w:rsid w:val="007A6442"/>
    <w:rsid w:val="007A66EB"/>
    <w:rsid w:val="007A6DC9"/>
    <w:rsid w:val="007A6EBC"/>
    <w:rsid w:val="007B2A69"/>
    <w:rsid w:val="007B2E32"/>
    <w:rsid w:val="007B38C5"/>
    <w:rsid w:val="007B40C7"/>
    <w:rsid w:val="007B4678"/>
    <w:rsid w:val="007B5706"/>
    <w:rsid w:val="007B6511"/>
    <w:rsid w:val="007B6703"/>
    <w:rsid w:val="007B6755"/>
    <w:rsid w:val="007C0956"/>
    <w:rsid w:val="007C0C0C"/>
    <w:rsid w:val="007C0F50"/>
    <w:rsid w:val="007C0F6B"/>
    <w:rsid w:val="007C19CA"/>
    <w:rsid w:val="007C1FF8"/>
    <w:rsid w:val="007C259F"/>
    <w:rsid w:val="007C36DE"/>
    <w:rsid w:val="007C377C"/>
    <w:rsid w:val="007C4416"/>
    <w:rsid w:val="007C75A1"/>
    <w:rsid w:val="007C7B6B"/>
    <w:rsid w:val="007C7D65"/>
    <w:rsid w:val="007D0574"/>
    <w:rsid w:val="007D0738"/>
    <w:rsid w:val="007D0955"/>
    <w:rsid w:val="007D095A"/>
    <w:rsid w:val="007D0DE9"/>
    <w:rsid w:val="007D1650"/>
    <w:rsid w:val="007D1FBA"/>
    <w:rsid w:val="007D2823"/>
    <w:rsid w:val="007D3CCE"/>
    <w:rsid w:val="007D4FD1"/>
    <w:rsid w:val="007D50AB"/>
    <w:rsid w:val="007D67F2"/>
    <w:rsid w:val="007D6968"/>
    <w:rsid w:val="007D7B51"/>
    <w:rsid w:val="007E0716"/>
    <w:rsid w:val="007E185E"/>
    <w:rsid w:val="007E1BC4"/>
    <w:rsid w:val="007E1E76"/>
    <w:rsid w:val="007E1FF8"/>
    <w:rsid w:val="007E35CB"/>
    <w:rsid w:val="007E3B84"/>
    <w:rsid w:val="007E466E"/>
    <w:rsid w:val="007E48E2"/>
    <w:rsid w:val="007E4E1A"/>
    <w:rsid w:val="007E63E4"/>
    <w:rsid w:val="007E67D9"/>
    <w:rsid w:val="007E758C"/>
    <w:rsid w:val="007E78A3"/>
    <w:rsid w:val="007E78F6"/>
    <w:rsid w:val="007E7BE7"/>
    <w:rsid w:val="007F044B"/>
    <w:rsid w:val="007F07F2"/>
    <w:rsid w:val="007F195D"/>
    <w:rsid w:val="007F30F1"/>
    <w:rsid w:val="007F34A5"/>
    <w:rsid w:val="007F405B"/>
    <w:rsid w:val="007F5301"/>
    <w:rsid w:val="007F542B"/>
    <w:rsid w:val="007F5931"/>
    <w:rsid w:val="007F5AD4"/>
    <w:rsid w:val="007F5EFA"/>
    <w:rsid w:val="007F5FF6"/>
    <w:rsid w:val="007F7544"/>
    <w:rsid w:val="007F7CA1"/>
    <w:rsid w:val="00800032"/>
    <w:rsid w:val="00800364"/>
    <w:rsid w:val="00800686"/>
    <w:rsid w:val="008017F4"/>
    <w:rsid w:val="008021DF"/>
    <w:rsid w:val="00802C3C"/>
    <w:rsid w:val="00802EE5"/>
    <w:rsid w:val="00804BE3"/>
    <w:rsid w:val="00804C7D"/>
    <w:rsid w:val="00804F41"/>
    <w:rsid w:val="00805342"/>
    <w:rsid w:val="00806059"/>
    <w:rsid w:val="00806B44"/>
    <w:rsid w:val="0081003F"/>
    <w:rsid w:val="00810D87"/>
    <w:rsid w:val="00812AE1"/>
    <w:rsid w:val="008139AD"/>
    <w:rsid w:val="00814107"/>
    <w:rsid w:val="00814FA6"/>
    <w:rsid w:val="00816208"/>
    <w:rsid w:val="00816B07"/>
    <w:rsid w:val="00817A43"/>
    <w:rsid w:val="00820067"/>
    <w:rsid w:val="00820858"/>
    <w:rsid w:val="00820A13"/>
    <w:rsid w:val="00820A9A"/>
    <w:rsid w:val="00820DE3"/>
    <w:rsid w:val="00821922"/>
    <w:rsid w:val="00821E40"/>
    <w:rsid w:val="00821E88"/>
    <w:rsid w:val="00822C95"/>
    <w:rsid w:val="00822DDE"/>
    <w:rsid w:val="00824684"/>
    <w:rsid w:val="00825C97"/>
    <w:rsid w:val="0082625D"/>
    <w:rsid w:val="0082730D"/>
    <w:rsid w:val="008302A7"/>
    <w:rsid w:val="00830EF8"/>
    <w:rsid w:val="00832323"/>
    <w:rsid w:val="00833174"/>
    <w:rsid w:val="00833EA4"/>
    <w:rsid w:val="00834080"/>
    <w:rsid w:val="008348CB"/>
    <w:rsid w:val="00834937"/>
    <w:rsid w:val="008360E6"/>
    <w:rsid w:val="00837598"/>
    <w:rsid w:val="0083768A"/>
    <w:rsid w:val="00837A5C"/>
    <w:rsid w:val="008418C1"/>
    <w:rsid w:val="00843254"/>
    <w:rsid w:val="00844524"/>
    <w:rsid w:val="00844AF6"/>
    <w:rsid w:val="008450AE"/>
    <w:rsid w:val="00845721"/>
    <w:rsid w:val="00845930"/>
    <w:rsid w:val="0084686B"/>
    <w:rsid w:val="00846AC6"/>
    <w:rsid w:val="00846C9C"/>
    <w:rsid w:val="00851265"/>
    <w:rsid w:val="008528A7"/>
    <w:rsid w:val="00852C53"/>
    <w:rsid w:val="008533D7"/>
    <w:rsid w:val="008536A8"/>
    <w:rsid w:val="00853B91"/>
    <w:rsid w:val="008546E8"/>
    <w:rsid w:val="0085547B"/>
    <w:rsid w:val="00855A33"/>
    <w:rsid w:val="00856611"/>
    <w:rsid w:val="00856653"/>
    <w:rsid w:val="008569BA"/>
    <w:rsid w:val="00856A39"/>
    <w:rsid w:val="00856AB3"/>
    <w:rsid w:val="00856CB6"/>
    <w:rsid w:val="00860179"/>
    <w:rsid w:val="00860817"/>
    <w:rsid w:val="00860CDC"/>
    <w:rsid w:val="00860ED2"/>
    <w:rsid w:val="00861BAB"/>
    <w:rsid w:val="008645BF"/>
    <w:rsid w:val="00864C4A"/>
    <w:rsid w:val="00865495"/>
    <w:rsid w:val="00866C23"/>
    <w:rsid w:val="00866F0B"/>
    <w:rsid w:val="00867861"/>
    <w:rsid w:val="00867D24"/>
    <w:rsid w:val="00867F99"/>
    <w:rsid w:val="00870885"/>
    <w:rsid w:val="008730B0"/>
    <w:rsid w:val="008731BB"/>
    <w:rsid w:val="00873911"/>
    <w:rsid w:val="00873928"/>
    <w:rsid w:val="00873BE8"/>
    <w:rsid w:val="00873E2A"/>
    <w:rsid w:val="00874164"/>
    <w:rsid w:val="0087424A"/>
    <w:rsid w:val="0087528C"/>
    <w:rsid w:val="00876090"/>
    <w:rsid w:val="00876586"/>
    <w:rsid w:val="0087676D"/>
    <w:rsid w:val="00876AA5"/>
    <w:rsid w:val="00877577"/>
    <w:rsid w:val="008800CF"/>
    <w:rsid w:val="008803F4"/>
    <w:rsid w:val="00880C0F"/>
    <w:rsid w:val="00884069"/>
    <w:rsid w:val="00885A68"/>
    <w:rsid w:val="00885E93"/>
    <w:rsid w:val="008864DA"/>
    <w:rsid w:val="0088666A"/>
    <w:rsid w:val="00886DEE"/>
    <w:rsid w:val="0088784C"/>
    <w:rsid w:val="00891288"/>
    <w:rsid w:val="00892288"/>
    <w:rsid w:val="00892364"/>
    <w:rsid w:val="00893179"/>
    <w:rsid w:val="0089419C"/>
    <w:rsid w:val="00894564"/>
    <w:rsid w:val="008953FA"/>
    <w:rsid w:val="00895CED"/>
    <w:rsid w:val="00897D96"/>
    <w:rsid w:val="008A0985"/>
    <w:rsid w:val="008A0D3A"/>
    <w:rsid w:val="008A0DAB"/>
    <w:rsid w:val="008A1339"/>
    <w:rsid w:val="008A1A6C"/>
    <w:rsid w:val="008A2265"/>
    <w:rsid w:val="008A341E"/>
    <w:rsid w:val="008A3B42"/>
    <w:rsid w:val="008A462E"/>
    <w:rsid w:val="008A4E52"/>
    <w:rsid w:val="008A5A37"/>
    <w:rsid w:val="008A5CEB"/>
    <w:rsid w:val="008A6E2B"/>
    <w:rsid w:val="008B0181"/>
    <w:rsid w:val="008B15D5"/>
    <w:rsid w:val="008B1E4C"/>
    <w:rsid w:val="008B30F1"/>
    <w:rsid w:val="008B4395"/>
    <w:rsid w:val="008B5869"/>
    <w:rsid w:val="008B5CAE"/>
    <w:rsid w:val="008B6082"/>
    <w:rsid w:val="008B6369"/>
    <w:rsid w:val="008B657D"/>
    <w:rsid w:val="008B674E"/>
    <w:rsid w:val="008B6C2C"/>
    <w:rsid w:val="008B6FA7"/>
    <w:rsid w:val="008B7353"/>
    <w:rsid w:val="008C0C42"/>
    <w:rsid w:val="008C2B27"/>
    <w:rsid w:val="008C2B46"/>
    <w:rsid w:val="008C310F"/>
    <w:rsid w:val="008C484F"/>
    <w:rsid w:val="008C4C80"/>
    <w:rsid w:val="008C5210"/>
    <w:rsid w:val="008C58F0"/>
    <w:rsid w:val="008C5AC0"/>
    <w:rsid w:val="008C6466"/>
    <w:rsid w:val="008C721B"/>
    <w:rsid w:val="008C74EC"/>
    <w:rsid w:val="008C7803"/>
    <w:rsid w:val="008D16DF"/>
    <w:rsid w:val="008D1CB1"/>
    <w:rsid w:val="008D2391"/>
    <w:rsid w:val="008D3071"/>
    <w:rsid w:val="008D3A72"/>
    <w:rsid w:val="008D4363"/>
    <w:rsid w:val="008D449C"/>
    <w:rsid w:val="008D4746"/>
    <w:rsid w:val="008D4E39"/>
    <w:rsid w:val="008D5B77"/>
    <w:rsid w:val="008D5CBB"/>
    <w:rsid w:val="008D6124"/>
    <w:rsid w:val="008D6F77"/>
    <w:rsid w:val="008E1525"/>
    <w:rsid w:val="008E16E2"/>
    <w:rsid w:val="008E211E"/>
    <w:rsid w:val="008E2C2E"/>
    <w:rsid w:val="008E44E9"/>
    <w:rsid w:val="008E4780"/>
    <w:rsid w:val="008E4E8D"/>
    <w:rsid w:val="008E505A"/>
    <w:rsid w:val="008E506F"/>
    <w:rsid w:val="008E50EB"/>
    <w:rsid w:val="008E57DB"/>
    <w:rsid w:val="008E5A30"/>
    <w:rsid w:val="008E5C74"/>
    <w:rsid w:val="008E5DEA"/>
    <w:rsid w:val="008E5F37"/>
    <w:rsid w:val="008E6D21"/>
    <w:rsid w:val="008E76B3"/>
    <w:rsid w:val="008E7781"/>
    <w:rsid w:val="008F030A"/>
    <w:rsid w:val="008F063C"/>
    <w:rsid w:val="008F0676"/>
    <w:rsid w:val="008F3967"/>
    <w:rsid w:val="008F483F"/>
    <w:rsid w:val="008F5755"/>
    <w:rsid w:val="008F5F69"/>
    <w:rsid w:val="008F6466"/>
    <w:rsid w:val="008F74D3"/>
    <w:rsid w:val="008F77E1"/>
    <w:rsid w:val="009003FD"/>
    <w:rsid w:val="00900592"/>
    <w:rsid w:val="00900690"/>
    <w:rsid w:val="00900727"/>
    <w:rsid w:val="0090130C"/>
    <w:rsid w:val="0090562E"/>
    <w:rsid w:val="00907398"/>
    <w:rsid w:val="00907EA4"/>
    <w:rsid w:val="0091094E"/>
    <w:rsid w:val="00911A3B"/>
    <w:rsid w:val="0091231C"/>
    <w:rsid w:val="0091239A"/>
    <w:rsid w:val="00912654"/>
    <w:rsid w:val="009129E6"/>
    <w:rsid w:val="009130AB"/>
    <w:rsid w:val="009131DC"/>
    <w:rsid w:val="00913819"/>
    <w:rsid w:val="00913E00"/>
    <w:rsid w:val="00913F31"/>
    <w:rsid w:val="0091442B"/>
    <w:rsid w:val="009146FA"/>
    <w:rsid w:val="00914CBE"/>
    <w:rsid w:val="009153FA"/>
    <w:rsid w:val="00915637"/>
    <w:rsid w:val="00915AB5"/>
    <w:rsid w:val="00915CB1"/>
    <w:rsid w:val="00915F5D"/>
    <w:rsid w:val="00916711"/>
    <w:rsid w:val="0092013A"/>
    <w:rsid w:val="00920539"/>
    <w:rsid w:val="00920EBB"/>
    <w:rsid w:val="00921DAD"/>
    <w:rsid w:val="00922104"/>
    <w:rsid w:val="009228ED"/>
    <w:rsid w:val="00923852"/>
    <w:rsid w:val="00923FE0"/>
    <w:rsid w:val="00924197"/>
    <w:rsid w:val="00924C04"/>
    <w:rsid w:val="00925E9F"/>
    <w:rsid w:val="00926A23"/>
    <w:rsid w:val="00926F66"/>
    <w:rsid w:val="00927225"/>
    <w:rsid w:val="00927623"/>
    <w:rsid w:val="0093099D"/>
    <w:rsid w:val="00930BD4"/>
    <w:rsid w:val="00930FB9"/>
    <w:rsid w:val="00930FC4"/>
    <w:rsid w:val="00931F66"/>
    <w:rsid w:val="0093275C"/>
    <w:rsid w:val="00932A9A"/>
    <w:rsid w:val="009345F6"/>
    <w:rsid w:val="00934860"/>
    <w:rsid w:val="009415FF"/>
    <w:rsid w:val="009417AA"/>
    <w:rsid w:val="00941A6B"/>
    <w:rsid w:val="00941E36"/>
    <w:rsid w:val="00942A19"/>
    <w:rsid w:val="00942AEF"/>
    <w:rsid w:val="00942CC6"/>
    <w:rsid w:val="00943EBE"/>
    <w:rsid w:val="00944583"/>
    <w:rsid w:val="00946CDC"/>
    <w:rsid w:val="00947932"/>
    <w:rsid w:val="00947C2C"/>
    <w:rsid w:val="0095013B"/>
    <w:rsid w:val="00950187"/>
    <w:rsid w:val="00950308"/>
    <w:rsid w:val="009504B7"/>
    <w:rsid w:val="00950522"/>
    <w:rsid w:val="00951C54"/>
    <w:rsid w:val="00951C9C"/>
    <w:rsid w:val="0095250B"/>
    <w:rsid w:val="00952D6E"/>
    <w:rsid w:val="00952E47"/>
    <w:rsid w:val="00953401"/>
    <w:rsid w:val="0095346F"/>
    <w:rsid w:val="00953D23"/>
    <w:rsid w:val="00953FF3"/>
    <w:rsid w:val="00954CC5"/>
    <w:rsid w:val="0095503C"/>
    <w:rsid w:val="00955B49"/>
    <w:rsid w:val="00957AE6"/>
    <w:rsid w:val="00957F81"/>
    <w:rsid w:val="00960264"/>
    <w:rsid w:val="00960296"/>
    <w:rsid w:val="0096043C"/>
    <w:rsid w:val="00960769"/>
    <w:rsid w:val="0096178D"/>
    <w:rsid w:val="0096225A"/>
    <w:rsid w:val="0096294E"/>
    <w:rsid w:val="009647D3"/>
    <w:rsid w:val="00965896"/>
    <w:rsid w:val="009675D5"/>
    <w:rsid w:val="00970AF3"/>
    <w:rsid w:val="00972CB2"/>
    <w:rsid w:val="0097350D"/>
    <w:rsid w:val="0097361D"/>
    <w:rsid w:val="009746ED"/>
    <w:rsid w:val="00977D4D"/>
    <w:rsid w:val="00980B67"/>
    <w:rsid w:val="00980BC8"/>
    <w:rsid w:val="0098338B"/>
    <w:rsid w:val="009833EB"/>
    <w:rsid w:val="00983BD5"/>
    <w:rsid w:val="00984C58"/>
    <w:rsid w:val="00986547"/>
    <w:rsid w:val="00986D2A"/>
    <w:rsid w:val="0098720B"/>
    <w:rsid w:val="00987FB3"/>
    <w:rsid w:val="00990934"/>
    <w:rsid w:val="00990AED"/>
    <w:rsid w:val="009916FB"/>
    <w:rsid w:val="00992256"/>
    <w:rsid w:val="00992F77"/>
    <w:rsid w:val="00993214"/>
    <w:rsid w:val="00993D56"/>
    <w:rsid w:val="009940B3"/>
    <w:rsid w:val="009944E7"/>
    <w:rsid w:val="00994F0F"/>
    <w:rsid w:val="0099557C"/>
    <w:rsid w:val="009959C2"/>
    <w:rsid w:val="00995A67"/>
    <w:rsid w:val="00995FC5"/>
    <w:rsid w:val="00997EC7"/>
    <w:rsid w:val="009A0551"/>
    <w:rsid w:val="009A0BE8"/>
    <w:rsid w:val="009A0C59"/>
    <w:rsid w:val="009A1D95"/>
    <w:rsid w:val="009A2116"/>
    <w:rsid w:val="009A2356"/>
    <w:rsid w:val="009A24AB"/>
    <w:rsid w:val="009A2CF3"/>
    <w:rsid w:val="009A3568"/>
    <w:rsid w:val="009A44CD"/>
    <w:rsid w:val="009A49DE"/>
    <w:rsid w:val="009A4C2B"/>
    <w:rsid w:val="009A4D02"/>
    <w:rsid w:val="009A4FB5"/>
    <w:rsid w:val="009A5020"/>
    <w:rsid w:val="009A5529"/>
    <w:rsid w:val="009A5F24"/>
    <w:rsid w:val="009A713A"/>
    <w:rsid w:val="009A7D21"/>
    <w:rsid w:val="009B0D26"/>
    <w:rsid w:val="009B16AE"/>
    <w:rsid w:val="009B1B42"/>
    <w:rsid w:val="009B20F9"/>
    <w:rsid w:val="009B2156"/>
    <w:rsid w:val="009B2A23"/>
    <w:rsid w:val="009B44A7"/>
    <w:rsid w:val="009B4E3C"/>
    <w:rsid w:val="009B51FD"/>
    <w:rsid w:val="009B6674"/>
    <w:rsid w:val="009B75D9"/>
    <w:rsid w:val="009C0193"/>
    <w:rsid w:val="009C06C9"/>
    <w:rsid w:val="009C1D37"/>
    <w:rsid w:val="009C3AF4"/>
    <w:rsid w:val="009C3DE7"/>
    <w:rsid w:val="009C44D4"/>
    <w:rsid w:val="009C4611"/>
    <w:rsid w:val="009C4F11"/>
    <w:rsid w:val="009C50CB"/>
    <w:rsid w:val="009C5451"/>
    <w:rsid w:val="009C6702"/>
    <w:rsid w:val="009C7AD4"/>
    <w:rsid w:val="009C7F1E"/>
    <w:rsid w:val="009C7FB9"/>
    <w:rsid w:val="009D15E9"/>
    <w:rsid w:val="009D17E4"/>
    <w:rsid w:val="009D1A93"/>
    <w:rsid w:val="009D3B5F"/>
    <w:rsid w:val="009D40F4"/>
    <w:rsid w:val="009D4EBB"/>
    <w:rsid w:val="009D62F9"/>
    <w:rsid w:val="009D7D07"/>
    <w:rsid w:val="009D7DFD"/>
    <w:rsid w:val="009E18A9"/>
    <w:rsid w:val="009E2430"/>
    <w:rsid w:val="009E2A22"/>
    <w:rsid w:val="009E38B3"/>
    <w:rsid w:val="009E4754"/>
    <w:rsid w:val="009E4A35"/>
    <w:rsid w:val="009E4A98"/>
    <w:rsid w:val="009E5735"/>
    <w:rsid w:val="009E6108"/>
    <w:rsid w:val="009E6767"/>
    <w:rsid w:val="009E70DC"/>
    <w:rsid w:val="009E7B12"/>
    <w:rsid w:val="009F0795"/>
    <w:rsid w:val="009F09A4"/>
    <w:rsid w:val="009F0AE8"/>
    <w:rsid w:val="009F0B40"/>
    <w:rsid w:val="009F3E8A"/>
    <w:rsid w:val="009F4235"/>
    <w:rsid w:val="009F4513"/>
    <w:rsid w:val="009F5F15"/>
    <w:rsid w:val="009F6216"/>
    <w:rsid w:val="009F662E"/>
    <w:rsid w:val="009F66C6"/>
    <w:rsid w:val="009F7E88"/>
    <w:rsid w:val="00A00093"/>
    <w:rsid w:val="00A0032E"/>
    <w:rsid w:val="00A00428"/>
    <w:rsid w:val="00A00BD1"/>
    <w:rsid w:val="00A00C9E"/>
    <w:rsid w:val="00A01CB9"/>
    <w:rsid w:val="00A01E03"/>
    <w:rsid w:val="00A02FE2"/>
    <w:rsid w:val="00A03148"/>
    <w:rsid w:val="00A031D7"/>
    <w:rsid w:val="00A044C9"/>
    <w:rsid w:val="00A0466C"/>
    <w:rsid w:val="00A04989"/>
    <w:rsid w:val="00A0581F"/>
    <w:rsid w:val="00A05D67"/>
    <w:rsid w:val="00A06D1F"/>
    <w:rsid w:val="00A07A97"/>
    <w:rsid w:val="00A07F5F"/>
    <w:rsid w:val="00A110FE"/>
    <w:rsid w:val="00A11DC9"/>
    <w:rsid w:val="00A1204C"/>
    <w:rsid w:val="00A12D99"/>
    <w:rsid w:val="00A1325A"/>
    <w:rsid w:val="00A13F40"/>
    <w:rsid w:val="00A14574"/>
    <w:rsid w:val="00A16638"/>
    <w:rsid w:val="00A16991"/>
    <w:rsid w:val="00A16C21"/>
    <w:rsid w:val="00A16F70"/>
    <w:rsid w:val="00A179D0"/>
    <w:rsid w:val="00A2159E"/>
    <w:rsid w:val="00A216BC"/>
    <w:rsid w:val="00A21E3E"/>
    <w:rsid w:val="00A220F9"/>
    <w:rsid w:val="00A234F4"/>
    <w:rsid w:val="00A23ACF"/>
    <w:rsid w:val="00A23D26"/>
    <w:rsid w:val="00A25C9B"/>
    <w:rsid w:val="00A26DF1"/>
    <w:rsid w:val="00A272BA"/>
    <w:rsid w:val="00A2769E"/>
    <w:rsid w:val="00A27DF3"/>
    <w:rsid w:val="00A30367"/>
    <w:rsid w:val="00A30FBD"/>
    <w:rsid w:val="00A31581"/>
    <w:rsid w:val="00A323E4"/>
    <w:rsid w:val="00A324A9"/>
    <w:rsid w:val="00A33250"/>
    <w:rsid w:val="00A33BD1"/>
    <w:rsid w:val="00A37180"/>
    <w:rsid w:val="00A37431"/>
    <w:rsid w:val="00A37AE5"/>
    <w:rsid w:val="00A37BC7"/>
    <w:rsid w:val="00A40630"/>
    <w:rsid w:val="00A40837"/>
    <w:rsid w:val="00A40896"/>
    <w:rsid w:val="00A414CB"/>
    <w:rsid w:val="00A42C18"/>
    <w:rsid w:val="00A4352E"/>
    <w:rsid w:val="00A4449C"/>
    <w:rsid w:val="00A44534"/>
    <w:rsid w:val="00A44A25"/>
    <w:rsid w:val="00A44B8F"/>
    <w:rsid w:val="00A44C84"/>
    <w:rsid w:val="00A50750"/>
    <w:rsid w:val="00A5140B"/>
    <w:rsid w:val="00A51C71"/>
    <w:rsid w:val="00A521C6"/>
    <w:rsid w:val="00A52E3C"/>
    <w:rsid w:val="00A5325F"/>
    <w:rsid w:val="00A5365A"/>
    <w:rsid w:val="00A53AE8"/>
    <w:rsid w:val="00A55AA4"/>
    <w:rsid w:val="00A5675B"/>
    <w:rsid w:val="00A57CCA"/>
    <w:rsid w:val="00A60165"/>
    <w:rsid w:val="00A601D2"/>
    <w:rsid w:val="00A602C3"/>
    <w:rsid w:val="00A608E5"/>
    <w:rsid w:val="00A6197E"/>
    <w:rsid w:val="00A630DF"/>
    <w:rsid w:val="00A633E4"/>
    <w:rsid w:val="00A63415"/>
    <w:rsid w:val="00A6429A"/>
    <w:rsid w:val="00A6446B"/>
    <w:rsid w:val="00A64D0A"/>
    <w:rsid w:val="00A651C1"/>
    <w:rsid w:val="00A663FB"/>
    <w:rsid w:val="00A6659D"/>
    <w:rsid w:val="00A666F6"/>
    <w:rsid w:val="00A6693A"/>
    <w:rsid w:val="00A702CE"/>
    <w:rsid w:val="00A7057B"/>
    <w:rsid w:val="00A713A9"/>
    <w:rsid w:val="00A71CD1"/>
    <w:rsid w:val="00A72BFE"/>
    <w:rsid w:val="00A72E13"/>
    <w:rsid w:val="00A73398"/>
    <w:rsid w:val="00A742D5"/>
    <w:rsid w:val="00A757D7"/>
    <w:rsid w:val="00A75C9D"/>
    <w:rsid w:val="00A7649B"/>
    <w:rsid w:val="00A765C3"/>
    <w:rsid w:val="00A80267"/>
    <w:rsid w:val="00A81B93"/>
    <w:rsid w:val="00A81EE5"/>
    <w:rsid w:val="00A823C3"/>
    <w:rsid w:val="00A83412"/>
    <w:rsid w:val="00A8418B"/>
    <w:rsid w:val="00A844B4"/>
    <w:rsid w:val="00A84817"/>
    <w:rsid w:val="00A84C46"/>
    <w:rsid w:val="00A8532F"/>
    <w:rsid w:val="00A860AA"/>
    <w:rsid w:val="00A86B14"/>
    <w:rsid w:val="00A878DE"/>
    <w:rsid w:val="00A87E8D"/>
    <w:rsid w:val="00A91139"/>
    <w:rsid w:val="00A911C8"/>
    <w:rsid w:val="00A91517"/>
    <w:rsid w:val="00A91D66"/>
    <w:rsid w:val="00A93109"/>
    <w:rsid w:val="00A93ACB"/>
    <w:rsid w:val="00A940B9"/>
    <w:rsid w:val="00A943A2"/>
    <w:rsid w:val="00A94C21"/>
    <w:rsid w:val="00A97119"/>
    <w:rsid w:val="00AA1285"/>
    <w:rsid w:val="00AA1495"/>
    <w:rsid w:val="00AA262E"/>
    <w:rsid w:val="00AA2F9C"/>
    <w:rsid w:val="00AA3A04"/>
    <w:rsid w:val="00AA41A4"/>
    <w:rsid w:val="00AA565B"/>
    <w:rsid w:val="00AA7580"/>
    <w:rsid w:val="00AA7F3E"/>
    <w:rsid w:val="00AB031F"/>
    <w:rsid w:val="00AB2785"/>
    <w:rsid w:val="00AB28C8"/>
    <w:rsid w:val="00AB3646"/>
    <w:rsid w:val="00AB37E3"/>
    <w:rsid w:val="00AB3ED6"/>
    <w:rsid w:val="00AB4150"/>
    <w:rsid w:val="00AB6361"/>
    <w:rsid w:val="00AB6FC8"/>
    <w:rsid w:val="00AC3344"/>
    <w:rsid w:val="00AC3A6B"/>
    <w:rsid w:val="00AC4323"/>
    <w:rsid w:val="00AC5055"/>
    <w:rsid w:val="00AC5D38"/>
    <w:rsid w:val="00AC6975"/>
    <w:rsid w:val="00AC7617"/>
    <w:rsid w:val="00AC7C88"/>
    <w:rsid w:val="00AC7ED3"/>
    <w:rsid w:val="00AD0965"/>
    <w:rsid w:val="00AD09C1"/>
    <w:rsid w:val="00AD0FDA"/>
    <w:rsid w:val="00AD13E3"/>
    <w:rsid w:val="00AD16D8"/>
    <w:rsid w:val="00AD1E35"/>
    <w:rsid w:val="00AD25B6"/>
    <w:rsid w:val="00AD2B7A"/>
    <w:rsid w:val="00AD2DC9"/>
    <w:rsid w:val="00AD327B"/>
    <w:rsid w:val="00AD3AFD"/>
    <w:rsid w:val="00AD43B1"/>
    <w:rsid w:val="00AD4A7C"/>
    <w:rsid w:val="00AD4C04"/>
    <w:rsid w:val="00AD5200"/>
    <w:rsid w:val="00AD52F4"/>
    <w:rsid w:val="00AD76E1"/>
    <w:rsid w:val="00AD7AAF"/>
    <w:rsid w:val="00AE15CB"/>
    <w:rsid w:val="00AE1603"/>
    <w:rsid w:val="00AE1DC6"/>
    <w:rsid w:val="00AE28F0"/>
    <w:rsid w:val="00AE311D"/>
    <w:rsid w:val="00AE3473"/>
    <w:rsid w:val="00AE3558"/>
    <w:rsid w:val="00AE37D6"/>
    <w:rsid w:val="00AE3BD7"/>
    <w:rsid w:val="00AE4407"/>
    <w:rsid w:val="00AE480E"/>
    <w:rsid w:val="00AE63E3"/>
    <w:rsid w:val="00AE773D"/>
    <w:rsid w:val="00AE7A42"/>
    <w:rsid w:val="00AF0AC8"/>
    <w:rsid w:val="00AF15C8"/>
    <w:rsid w:val="00AF1F93"/>
    <w:rsid w:val="00AF3199"/>
    <w:rsid w:val="00AF32B8"/>
    <w:rsid w:val="00AF36AE"/>
    <w:rsid w:val="00AF37A6"/>
    <w:rsid w:val="00AF37AA"/>
    <w:rsid w:val="00AF3EEC"/>
    <w:rsid w:val="00AF43B1"/>
    <w:rsid w:val="00AF43C0"/>
    <w:rsid w:val="00AF4AD7"/>
    <w:rsid w:val="00AF4E8A"/>
    <w:rsid w:val="00AF6546"/>
    <w:rsid w:val="00AF699F"/>
    <w:rsid w:val="00AF7DFF"/>
    <w:rsid w:val="00B0276D"/>
    <w:rsid w:val="00B033A7"/>
    <w:rsid w:val="00B038F9"/>
    <w:rsid w:val="00B04B50"/>
    <w:rsid w:val="00B0532E"/>
    <w:rsid w:val="00B100B7"/>
    <w:rsid w:val="00B10247"/>
    <w:rsid w:val="00B14EB0"/>
    <w:rsid w:val="00B1516A"/>
    <w:rsid w:val="00B154F2"/>
    <w:rsid w:val="00B16AD2"/>
    <w:rsid w:val="00B16E98"/>
    <w:rsid w:val="00B17736"/>
    <w:rsid w:val="00B20079"/>
    <w:rsid w:val="00B20581"/>
    <w:rsid w:val="00B205D5"/>
    <w:rsid w:val="00B20BD2"/>
    <w:rsid w:val="00B20ECB"/>
    <w:rsid w:val="00B23648"/>
    <w:rsid w:val="00B23E2E"/>
    <w:rsid w:val="00B24279"/>
    <w:rsid w:val="00B2594A"/>
    <w:rsid w:val="00B26725"/>
    <w:rsid w:val="00B2698A"/>
    <w:rsid w:val="00B27499"/>
    <w:rsid w:val="00B277AE"/>
    <w:rsid w:val="00B30294"/>
    <w:rsid w:val="00B31772"/>
    <w:rsid w:val="00B328AA"/>
    <w:rsid w:val="00B3296E"/>
    <w:rsid w:val="00B334A6"/>
    <w:rsid w:val="00B34F8D"/>
    <w:rsid w:val="00B35A9A"/>
    <w:rsid w:val="00B3636E"/>
    <w:rsid w:val="00B36805"/>
    <w:rsid w:val="00B37B0F"/>
    <w:rsid w:val="00B37E0A"/>
    <w:rsid w:val="00B424EA"/>
    <w:rsid w:val="00B42704"/>
    <w:rsid w:val="00B42DAB"/>
    <w:rsid w:val="00B431EB"/>
    <w:rsid w:val="00B4382A"/>
    <w:rsid w:val="00B43B5C"/>
    <w:rsid w:val="00B43EEE"/>
    <w:rsid w:val="00B4407E"/>
    <w:rsid w:val="00B44CDD"/>
    <w:rsid w:val="00B452B2"/>
    <w:rsid w:val="00B4658A"/>
    <w:rsid w:val="00B469FB"/>
    <w:rsid w:val="00B46B4E"/>
    <w:rsid w:val="00B46CE6"/>
    <w:rsid w:val="00B47645"/>
    <w:rsid w:val="00B50202"/>
    <w:rsid w:val="00B5089B"/>
    <w:rsid w:val="00B5190B"/>
    <w:rsid w:val="00B52337"/>
    <w:rsid w:val="00B52F0C"/>
    <w:rsid w:val="00B53105"/>
    <w:rsid w:val="00B53BF2"/>
    <w:rsid w:val="00B54103"/>
    <w:rsid w:val="00B54591"/>
    <w:rsid w:val="00B5468E"/>
    <w:rsid w:val="00B54774"/>
    <w:rsid w:val="00B55750"/>
    <w:rsid w:val="00B55CC2"/>
    <w:rsid w:val="00B56DE1"/>
    <w:rsid w:val="00B57310"/>
    <w:rsid w:val="00B57677"/>
    <w:rsid w:val="00B57839"/>
    <w:rsid w:val="00B57B30"/>
    <w:rsid w:val="00B602B9"/>
    <w:rsid w:val="00B619AC"/>
    <w:rsid w:val="00B62C6F"/>
    <w:rsid w:val="00B65CB1"/>
    <w:rsid w:val="00B67149"/>
    <w:rsid w:val="00B67179"/>
    <w:rsid w:val="00B678A3"/>
    <w:rsid w:val="00B6799A"/>
    <w:rsid w:val="00B700BE"/>
    <w:rsid w:val="00B70C4E"/>
    <w:rsid w:val="00B732DF"/>
    <w:rsid w:val="00B73927"/>
    <w:rsid w:val="00B754E0"/>
    <w:rsid w:val="00B7562C"/>
    <w:rsid w:val="00B75F01"/>
    <w:rsid w:val="00B7666C"/>
    <w:rsid w:val="00B77208"/>
    <w:rsid w:val="00B80202"/>
    <w:rsid w:val="00B82D0E"/>
    <w:rsid w:val="00B852D8"/>
    <w:rsid w:val="00B85EA8"/>
    <w:rsid w:val="00B86024"/>
    <w:rsid w:val="00B86B6E"/>
    <w:rsid w:val="00B86DE0"/>
    <w:rsid w:val="00B90081"/>
    <w:rsid w:val="00B913D3"/>
    <w:rsid w:val="00B91896"/>
    <w:rsid w:val="00B91935"/>
    <w:rsid w:val="00B91B6C"/>
    <w:rsid w:val="00B9220E"/>
    <w:rsid w:val="00B92C59"/>
    <w:rsid w:val="00B93E0B"/>
    <w:rsid w:val="00B94C82"/>
    <w:rsid w:val="00B95293"/>
    <w:rsid w:val="00B96AD9"/>
    <w:rsid w:val="00B97AAF"/>
    <w:rsid w:val="00BA1263"/>
    <w:rsid w:val="00BA167F"/>
    <w:rsid w:val="00BA1E0D"/>
    <w:rsid w:val="00BA2091"/>
    <w:rsid w:val="00BA389D"/>
    <w:rsid w:val="00BA3907"/>
    <w:rsid w:val="00BA39EC"/>
    <w:rsid w:val="00BA3D06"/>
    <w:rsid w:val="00BA627C"/>
    <w:rsid w:val="00BA7230"/>
    <w:rsid w:val="00BB025B"/>
    <w:rsid w:val="00BB20A8"/>
    <w:rsid w:val="00BB2DA8"/>
    <w:rsid w:val="00BB3413"/>
    <w:rsid w:val="00BB3451"/>
    <w:rsid w:val="00BB3EFD"/>
    <w:rsid w:val="00BB497B"/>
    <w:rsid w:val="00BB59CF"/>
    <w:rsid w:val="00BB6DE8"/>
    <w:rsid w:val="00BB7456"/>
    <w:rsid w:val="00BC022E"/>
    <w:rsid w:val="00BC17C0"/>
    <w:rsid w:val="00BC1E76"/>
    <w:rsid w:val="00BC232C"/>
    <w:rsid w:val="00BC2A80"/>
    <w:rsid w:val="00BC345C"/>
    <w:rsid w:val="00BC4393"/>
    <w:rsid w:val="00BC4A4D"/>
    <w:rsid w:val="00BC55D0"/>
    <w:rsid w:val="00BC5AA9"/>
    <w:rsid w:val="00BC5D23"/>
    <w:rsid w:val="00BC6115"/>
    <w:rsid w:val="00BC6338"/>
    <w:rsid w:val="00BC73CC"/>
    <w:rsid w:val="00BC7A7D"/>
    <w:rsid w:val="00BD03EE"/>
    <w:rsid w:val="00BD0552"/>
    <w:rsid w:val="00BD145C"/>
    <w:rsid w:val="00BD245A"/>
    <w:rsid w:val="00BD267F"/>
    <w:rsid w:val="00BD2A21"/>
    <w:rsid w:val="00BD339C"/>
    <w:rsid w:val="00BD3418"/>
    <w:rsid w:val="00BD54A3"/>
    <w:rsid w:val="00BD5C88"/>
    <w:rsid w:val="00BD670A"/>
    <w:rsid w:val="00BD6C26"/>
    <w:rsid w:val="00BD7462"/>
    <w:rsid w:val="00BE018B"/>
    <w:rsid w:val="00BE09AC"/>
    <w:rsid w:val="00BE09E6"/>
    <w:rsid w:val="00BE24FC"/>
    <w:rsid w:val="00BE2930"/>
    <w:rsid w:val="00BE2BA7"/>
    <w:rsid w:val="00BE2D9D"/>
    <w:rsid w:val="00BE3001"/>
    <w:rsid w:val="00BE3770"/>
    <w:rsid w:val="00BE39E1"/>
    <w:rsid w:val="00BE61AC"/>
    <w:rsid w:val="00BE7522"/>
    <w:rsid w:val="00BF0E7D"/>
    <w:rsid w:val="00BF1EA5"/>
    <w:rsid w:val="00BF3121"/>
    <w:rsid w:val="00BF3C79"/>
    <w:rsid w:val="00BF5014"/>
    <w:rsid w:val="00BF571C"/>
    <w:rsid w:val="00BF5CA7"/>
    <w:rsid w:val="00C00EDB"/>
    <w:rsid w:val="00C0125E"/>
    <w:rsid w:val="00C0337A"/>
    <w:rsid w:val="00C053B0"/>
    <w:rsid w:val="00C05F50"/>
    <w:rsid w:val="00C06D21"/>
    <w:rsid w:val="00C113D3"/>
    <w:rsid w:val="00C11708"/>
    <w:rsid w:val="00C11F44"/>
    <w:rsid w:val="00C13663"/>
    <w:rsid w:val="00C1372D"/>
    <w:rsid w:val="00C13EF4"/>
    <w:rsid w:val="00C142A4"/>
    <w:rsid w:val="00C16104"/>
    <w:rsid w:val="00C16B4F"/>
    <w:rsid w:val="00C17688"/>
    <w:rsid w:val="00C208A8"/>
    <w:rsid w:val="00C20BB7"/>
    <w:rsid w:val="00C22ED6"/>
    <w:rsid w:val="00C24703"/>
    <w:rsid w:val="00C250C9"/>
    <w:rsid w:val="00C270E5"/>
    <w:rsid w:val="00C30B7F"/>
    <w:rsid w:val="00C30C38"/>
    <w:rsid w:val="00C31735"/>
    <w:rsid w:val="00C3239B"/>
    <w:rsid w:val="00C3267D"/>
    <w:rsid w:val="00C33720"/>
    <w:rsid w:val="00C33D73"/>
    <w:rsid w:val="00C33EC5"/>
    <w:rsid w:val="00C343A4"/>
    <w:rsid w:val="00C344F1"/>
    <w:rsid w:val="00C352E7"/>
    <w:rsid w:val="00C3585E"/>
    <w:rsid w:val="00C35C0F"/>
    <w:rsid w:val="00C35F5C"/>
    <w:rsid w:val="00C36182"/>
    <w:rsid w:val="00C361B7"/>
    <w:rsid w:val="00C36D08"/>
    <w:rsid w:val="00C370E7"/>
    <w:rsid w:val="00C372C6"/>
    <w:rsid w:val="00C376D0"/>
    <w:rsid w:val="00C379C6"/>
    <w:rsid w:val="00C40702"/>
    <w:rsid w:val="00C40BBC"/>
    <w:rsid w:val="00C40D71"/>
    <w:rsid w:val="00C42991"/>
    <w:rsid w:val="00C42BEF"/>
    <w:rsid w:val="00C440ED"/>
    <w:rsid w:val="00C441B4"/>
    <w:rsid w:val="00C445FF"/>
    <w:rsid w:val="00C4499E"/>
    <w:rsid w:val="00C44B61"/>
    <w:rsid w:val="00C44D24"/>
    <w:rsid w:val="00C46302"/>
    <w:rsid w:val="00C473EA"/>
    <w:rsid w:val="00C505CF"/>
    <w:rsid w:val="00C50FC1"/>
    <w:rsid w:val="00C51772"/>
    <w:rsid w:val="00C51E7C"/>
    <w:rsid w:val="00C52D8E"/>
    <w:rsid w:val="00C52F04"/>
    <w:rsid w:val="00C53541"/>
    <w:rsid w:val="00C53E38"/>
    <w:rsid w:val="00C544D0"/>
    <w:rsid w:val="00C54913"/>
    <w:rsid w:val="00C56C3D"/>
    <w:rsid w:val="00C57117"/>
    <w:rsid w:val="00C6045D"/>
    <w:rsid w:val="00C60FFC"/>
    <w:rsid w:val="00C61152"/>
    <w:rsid w:val="00C612A7"/>
    <w:rsid w:val="00C62C91"/>
    <w:rsid w:val="00C62E56"/>
    <w:rsid w:val="00C63B6A"/>
    <w:rsid w:val="00C650ED"/>
    <w:rsid w:val="00C656EA"/>
    <w:rsid w:val="00C65A63"/>
    <w:rsid w:val="00C663B5"/>
    <w:rsid w:val="00C667CC"/>
    <w:rsid w:val="00C700BA"/>
    <w:rsid w:val="00C70395"/>
    <w:rsid w:val="00C70CFB"/>
    <w:rsid w:val="00C7104D"/>
    <w:rsid w:val="00C7189B"/>
    <w:rsid w:val="00C725B6"/>
    <w:rsid w:val="00C72A6A"/>
    <w:rsid w:val="00C73093"/>
    <w:rsid w:val="00C738F4"/>
    <w:rsid w:val="00C749BF"/>
    <w:rsid w:val="00C74D6D"/>
    <w:rsid w:val="00C76165"/>
    <w:rsid w:val="00C762D2"/>
    <w:rsid w:val="00C763FD"/>
    <w:rsid w:val="00C76E92"/>
    <w:rsid w:val="00C77869"/>
    <w:rsid w:val="00C77FDD"/>
    <w:rsid w:val="00C8034D"/>
    <w:rsid w:val="00C82704"/>
    <w:rsid w:val="00C849C3"/>
    <w:rsid w:val="00C84E71"/>
    <w:rsid w:val="00C856B0"/>
    <w:rsid w:val="00C85837"/>
    <w:rsid w:val="00C85B12"/>
    <w:rsid w:val="00C8629E"/>
    <w:rsid w:val="00C868B1"/>
    <w:rsid w:val="00C87DC9"/>
    <w:rsid w:val="00C922BE"/>
    <w:rsid w:val="00C9237A"/>
    <w:rsid w:val="00C93600"/>
    <w:rsid w:val="00C93CE7"/>
    <w:rsid w:val="00C9463F"/>
    <w:rsid w:val="00C96D8B"/>
    <w:rsid w:val="00CA0441"/>
    <w:rsid w:val="00CA08FD"/>
    <w:rsid w:val="00CA1D8A"/>
    <w:rsid w:val="00CA21CA"/>
    <w:rsid w:val="00CA2707"/>
    <w:rsid w:val="00CA282E"/>
    <w:rsid w:val="00CA330D"/>
    <w:rsid w:val="00CA363B"/>
    <w:rsid w:val="00CA39AD"/>
    <w:rsid w:val="00CA445D"/>
    <w:rsid w:val="00CA4F52"/>
    <w:rsid w:val="00CA52D8"/>
    <w:rsid w:val="00CA5448"/>
    <w:rsid w:val="00CA5641"/>
    <w:rsid w:val="00CA5DF9"/>
    <w:rsid w:val="00CA610A"/>
    <w:rsid w:val="00CA72E6"/>
    <w:rsid w:val="00CA7686"/>
    <w:rsid w:val="00CB0FB4"/>
    <w:rsid w:val="00CB2104"/>
    <w:rsid w:val="00CB2D29"/>
    <w:rsid w:val="00CB3397"/>
    <w:rsid w:val="00CB41F8"/>
    <w:rsid w:val="00CB4F89"/>
    <w:rsid w:val="00CB62D0"/>
    <w:rsid w:val="00CB73F5"/>
    <w:rsid w:val="00CC0DBB"/>
    <w:rsid w:val="00CC0E49"/>
    <w:rsid w:val="00CC23A8"/>
    <w:rsid w:val="00CC30E4"/>
    <w:rsid w:val="00CC4A8D"/>
    <w:rsid w:val="00CC4B38"/>
    <w:rsid w:val="00CC4B98"/>
    <w:rsid w:val="00CC5078"/>
    <w:rsid w:val="00CC527A"/>
    <w:rsid w:val="00CC6747"/>
    <w:rsid w:val="00CC70F6"/>
    <w:rsid w:val="00CC7B38"/>
    <w:rsid w:val="00CD1AEC"/>
    <w:rsid w:val="00CD3492"/>
    <w:rsid w:val="00CD52D9"/>
    <w:rsid w:val="00CD5C1A"/>
    <w:rsid w:val="00CD5E08"/>
    <w:rsid w:val="00CD672C"/>
    <w:rsid w:val="00CD72C8"/>
    <w:rsid w:val="00CD79BE"/>
    <w:rsid w:val="00CE0EA8"/>
    <w:rsid w:val="00CE174F"/>
    <w:rsid w:val="00CE30DC"/>
    <w:rsid w:val="00CE315F"/>
    <w:rsid w:val="00CE36CD"/>
    <w:rsid w:val="00CE3A06"/>
    <w:rsid w:val="00CE50FF"/>
    <w:rsid w:val="00CE52E2"/>
    <w:rsid w:val="00CE5387"/>
    <w:rsid w:val="00CE56E7"/>
    <w:rsid w:val="00CE5763"/>
    <w:rsid w:val="00CE612D"/>
    <w:rsid w:val="00CE6280"/>
    <w:rsid w:val="00CE67EE"/>
    <w:rsid w:val="00CE6852"/>
    <w:rsid w:val="00CE6A29"/>
    <w:rsid w:val="00CF03CE"/>
    <w:rsid w:val="00CF0A82"/>
    <w:rsid w:val="00CF1AAA"/>
    <w:rsid w:val="00CF23CD"/>
    <w:rsid w:val="00CF292B"/>
    <w:rsid w:val="00CF2CCF"/>
    <w:rsid w:val="00CF2E5A"/>
    <w:rsid w:val="00CF2FD7"/>
    <w:rsid w:val="00CF3257"/>
    <w:rsid w:val="00CF3B0A"/>
    <w:rsid w:val="00CF4965"/>
    <w:rsid w:val="00CF51FB"/>
    <w:rsid w:val="00CF5E6A"/>
    <w:rsid w:val="00CF5FF4"/>
    <w:rsid w:val="00CF7DE7"/>
    <w:rsid w:val="00D00489"/>
    <w:rsid w:val="00D006C0"/>
    <w:rsid w:val="00D0074E"/>
    <w:rsid w:val="00D00966"/>
    <w:rsid w:val="00D00C97"/>
    <w:rsid w:val="00D00CD6"/>
    <w:rsid w:val="00D01489"/>
    <w:rsid w:val="00D03057"/>
    <w:rsid w:val="00D03204"/>
    <w:rsid w:val="00D037A6"/>
    <w:rsid w:val="00D04DEE"/>
    <w:rsid w:val="00D05659"/>
    <w:rsid w:val="00D060E6"/>
    <w:rsid w:val="00D06B6C"/>
    <w:rsid w:val="00D10F2D"/>
    <w:rsid w:val="00D12C25"/>
    <w:rsid w:val="00D13842"/>
    <w:rsid w:val="00D13AE7"/>
    <w:rsid w:val="00D13F66"/>
    <w:rsid w:val="00D14481"/>
    <w:rsid w:val="00D14FB0"/>
    <w:rsid w:val="00D15069"/>
    <w:rsid w:val="00D166ED"/>
    <w:rsid w:val="00D16772"/>
    <w:rsid w:val="00D17487"/>
    <w:rsid w:val="00D20977"/>
    <w:rsid w:val="00D22595"/>
    <w:rsid w:val="00D22B74"/>
    <w:rsid w:val="00D23D5B"/>
    <w:rsid w:val="00D2617D"/>
    <w:rsid w:val="00D26603"/>
    <w:rsid w:val="00D26985"/>
    <w:rsid w:val="00D273C4"/>
    <w:rsid w:val="00D276E0"/>
    <w:rsid w:val="00D2774B"/>
    <w:rsid w:val="00D27795"/>
    <w:rsid w:val="00D27C56"/>
    <w:rsid w:val="00D313E0"/>
    <w:rsid w:val="00D33DC5"/>
    <w:rsid w:val="00D33E30"/>
    <w:rsid w:val="00D34BBD"/>
    <w:rsid w:val="00D34C13"/>
    <w:rsid w:val="00D3572E"/>
    <w:rsid w:val="00D35771"/>
    <w:rsid w:val="00D36B25"/>
    <w:rsid w:val="00D37CC9"/>
    <w:rsid w:val="00D37F4F"/>
    <w:rsid w:val="00D41C41"/>
    <w:rsid w:val="00D41C52"/>
    <w:rsid w:val="00D41D4C"/>
    <w:rsid w:val="00D41FF0"/>
    <w:rsid w:val="00D43328"/>
    <w:rsid w:val="00D43BA7"/>
    <w:rsid w:val="00D43F73"/>
    <w:rsid w:val="00D45433"/>
    <w:rsid w:val="00D45904"/>
    <w:rsid w:val="00D46073"/>
    <w:rsid w:val="00D4660F"/>
    <w:rsid w:val="00D479A4"/>
    <w:rsid w:val="00D47E61"/>
    <w:rsid w:val="00D503D6"/>
    <w:rsid w:val="00D506DA"/>
    <w:rsid w:val="00D5169B"/>
    <w:rsid w:val="00D51B71"/>
    <w:rsid w:val="00D51D40"/>
    <w:rsid w:val="00D52656"/>
    <w:rsid w:val="00D53544"/>
    <w:rsid w:val="00D5364C"/>
    <w:rsid w:val="00D55017"/>
    <w:rsid w:val="00D55591"/>
    <w:rsid w:val="00D558F1"/>
    <w:rsid w:val="00D55AC5"/>
    <w:rsid w:val="00D56AB9"/>
    <w:rsid w:val="00D60969"/>
    <w:rsid w:val="00D62DC8"/>
    <w:rsid w:val="00D63397"/>
    <w:rsid w:val="00D6550E"/>
    <w:rsid w:val="00D65614"/>
    <w:rsid w:val="00D6622E"/>
    <w:rsid w:val="00D66E56"/>
    <w:rsid w:val="00D706CD"/>
    <w:rsid w:val="00D73B0A"/>
    <w:rsid w:val="00D74376"/>
    <w:rsid w:val="00D74962"/>
    <w:rsid w:val="00D7552B"/>
    <w:rsid w:val="00D756F8"/>
    <w:rsid w:val="00D75B7A"/>
    <w:rsid w:val="00D75FE3"/>
    <w:rsid w:val="00D774A6"/>
    <w:rsid w:val="00D77AF1"/>
    <w:rsid w:val="00D80527"/>
    <w:rsid w:val="00D82919"/>
    <w:rsid w:val="00D83197"/>
    <w:rsid w:val="00D83886"/>
    <w:rsid w:val="00D83D1E"/>
    <w:rsid w:val="00D846F3"/>
    <w:rsid w:val="00D8551F"/>
    <w:rsid w:val="00D85588"/>
    <w:rsid w:val="00D8607E"/>
    <w:rsid w:val="00D8638E"/>
    <w:rsid w:val="00D87125"/>
    <w:rsid w:val="00D872F1"/>
    <w:rsid w:val="00D87526"/>
    <w:rsid w:val="00D9005B"/>
    <w:rsid w:val="00D90C3B"/>
    <w:rsid w:val="00D915BA"/>
    <w:rsid w:val="00D91E6A"/>
    <w:rsid w:val="00D924A9"/>
    <w:rsid w:val="00D92DE7"/>
    <w:rsid w:val="00D9333A"/>
    <w:rsid w:val="00D93A09"/>
    <w:rsid w:val="00D93E08"/>
    <w:rsid w:val="00D94927"/>
    <w:rsid w:val="00D94C07"/>
    <w:rsid w:val="00D94F77"/>
    <w:rsid w:val="00D95D0E"/>
    <w:rsid w:val="00D9621E"/>
    <w:rsid w:val="00DA009A"/>
    <w:rsid w:val="00DA0888"/>
    <w:rsid w:val="00DA18F1"/>
    <w:rsid w:val="00DA20FF"/>
    <w:rsid w:val="00DA221C"/>
    <w:rsid w:val="00DA2E2F"/>
    <w:rsid w:val="00DA3F6C"/>
    <w:rsid w:val="00DA4CA3"/>
    <w:rsid w:val="00DA6B41"/>
    <w:rsid w:val="00DA6B54"/>
    <w:rsid w:val="00DA7121"/>
    <w:rsid w:val="00DA756C"/>
    <w:rsid w:val="00DB10CB"/>
    <w:rsid w:val="00DB202C"/>
    <w:rsid w:val="00DB26BB"/>
    <w:rsid w:val="00DB2822"/>
    <w:rsid w:val="00DB2877"/>
    <w:rsid w:val="00DB3D27"/>
    <w:rsid w:val="00DB45A9"/>
    <w:rsid w:val="00DB6508"/>
    <w:rsid w:val="00DB6AD2"/>
    <w:rsid w:val="00DB782A"/>
    <w:rsid w:val="00DB7AFF"/>
    <w:rsid w:val="00DB7B45"/>
    <w:rsid w:val="00DC11E9"/>
    <w:rsid w:val="00DC1240"/>
    <w:rsid w:val="00DC2CF5"/>
    <w:rsid w:val="00DC3453"/>
    <w:rsid w:val="00DC37B3"/>
    <w:rsid w:val="00DC39EF"/>
    <w:rsid w:val="00DC457B"/>
    <w:rsid w:val="00DC4C8E"/>
    <w:rsid w:val="00DC5029"/>
    <w:rsid w:val="00DC564D"/>
    <w:rsid w:val="00DC5CBA"/>
    <w:rsid w:val="00DC6576"/>
    <w:rsid w:val="00DC673E"/>
    <w:rsid w:val="00DC69E4"/>
    <w:rsid w:val="00DD0633"/>
    <w:rsid w:val="00DD0D0F"/>
    <w:rsid w:val="00DD2F6C"/>
    <w:rsid w:val="00DD3174"/>
    <w:rsid w:val="00DD3EE2"/>
    <w:rsid w:val="00DD408A"/>
    <w:rsid w:val="00DD45FA"/>
    <w:rsid w:val="00DD49DC"/>
    <w:rsid w:val="00DD50A3"/>
    <w:rsid w:val="00DD585A"/>
    <w:rsid w:val="00DD5ADA"/>
    <w:rsid w:val="00DD5B14"/>
    <w:rsid w:val="00DD6102"/>
    <w:rsid w:val="00DD62D9"/>
    <w:rsid w:val="00DD71C0"/>
    <w:rsid w:val="00DE058A"/>
    <w:rsid w:val="00DE06B2"/>
    <w:rsid w:val="00DE0969"/>
    <w:rsid w:val="00DE1347"/>
    <w:rsid w:val="00DE20FB"/>
    <w:rsid w:val="00DE2179"/>
    <w:rsid w:val="00DE2A8B"/>
    <w:rsid w:val="00DE31F8"/>
    <w:rsid w:val="00DE351F"/>
    <w:rsid w:val="00DE3B11"/>
    <w:rsid w:val="00DE444E"/>
    <w:rsid w:val="00DE4B18"/>
    <w:rsid w:val="00DE5355"/>
    <w:rsid w:val="00DE552F"/>
    <w:rsid w:val="00DE58CB"/>
    <w:rsid w:val="00DE691A"/>
    <w:rsid w:val="00DE7BD4"/>
    <w:rsid w:val="00DE7EF8"/>
    <w:rsid w:val="00DF027E"/>
    <w:rsid w:val="00DF034F"/>
    <w:rsid w:val="00DF0355"/>
    <w:rsid w:val="00DF0A22"/>
    <w:rsid w:val="00DF2D9B"/>
    <w:rsid w:val="00DF37B0"/>
    <w:rsid w:val="00DF38AE"/>
    <w:rsid w:val="00DF5043"/>
    <w:rsid w:val="00DF60A9"/>
    <w:rsid w:val="00DF647E"/>
    <w:rsid w:val="00DF74B5"/>
    <w:rsid w:val="00E00704"/>
    <w:rsid w:val="00E013A5"/>
    <w:rsid w:val="00E018B4"/>
    <w:rsid w:val="00E02874"/>
    <w:rsid w:val="00E028A2"/>
    <w:rsid w:val="00E0464F"/>
    <w:rsid w:val="00E04C51"/>
    <w:rsid w:val="00E04D80"/>
    <w:rsid w:val="00E053DB"/>
    <w:rsid w:val="00E062A9"/>
    <w:rsid w:val="00E07AD1"/>
    <w:rsid w:val="00E07EDF"/>
    <w:rsid w:val="00E10024"/>
    <w:rsid w:val="00E1066A"/>
    <w:rsid w:val="00E10AD8"/>
    <w:rsid w:val="00E10CF9"/>
    <w:rsid w:val="00E10D7F"/>
    <w:rsid w:val="00E110B0"/>
    <w:rsid w:val="00E12AEF"/>
    <w:rsid w:val="00E142FB"/>
    <w:rsid w:val="00E15D29"/>
    <w:rsid w:val="00E15F78"/>
    <w:rsid w:val="00E16454"/>
    <w:rsid w:val="00E16FBA"/>
    <w:rsid w:val="00E17A50"/>
    <w:rsid w:val="00E201C1"/>
    <w:rsid w:val="00E2079E"/>
    <w:rsid w:val="00E211A3"/>
    <w:rsid w:val="00E2178C"/>
    <w:rsid w:val="00E21A64"/>
    <w:rsid w:val="00E21C27"/>
    <w:rsid w:val="00E22476"/>
    <w:rsid w:val="00E2313A"/>
    <w:rsid w:val="00E23893"/>
    <w:rsid w:val="00E23914"/>
    <w:rsid w:val="00E23B5D"/>
    <w:rsid w:val="00E242D5"/>
    <w:rsid w:val="00E250C7"/>
    <w:rsid w:val="00E25A30"/>
    <w:rsid w:val="00E30B4D"/>
    <w:rsid w:val="00E310A6"/>
    <w:rsid w:val="00E32EA2"/>
    <w:rsid w:val="00E3413E"/>
    <w:rsid w:val="00E34F18"/>
    <w:rsid w:val="00E35ECB"/>
    <w:rsid w:val="00E40BF8"/>
    <w:rsid w:val="00E40F64"/>
    <w:rsid w:val="00E41243"/>
    <w:rsid w:val="00E42C2B"/>
    <w:rsid w:val="00E43A59"/>
    <w:rsid w:val="00E45796"/>
    <w:rsid w:val="00E46363"/>
    <w:rsid w:val="00E463C1"/>
    <w:rsid w:val="00E47458"/>
    <w:rsid w:val="00E47471"/>
    <w:rsid w:val="00E47F6D"/>
    <w:rsid w:val="00E510FC"/>
    <w:rsid w:val="00E51135"/>
    <w:rsid w:val="00E51A32"/>
    <w:rsid w:val="00E5236B"/>
    <w:rsid w:val="00E5252E"/>
    <w:rsid w:val="00E532BF"/>
    <w:rsid w:val="00E54C69"/>
    <w:rsid w:val="00E54CD6"/>
    <w:rsid w:val="00E55174"/>
    <w:rsid w:val="00E55D17"/>
    <w:rsid w:val="00E56103"/>
    <w:rsid w:val="00E5621D"/>
    <w:rsid w:val="00E57158"/>
    <w:rsid w:val="00E5758F"/>
    <w:rsid w:val="00E5786D"/>
    <w:rsid w:val="00E57F5B"/>
    <w:rsid w:val="00E606E8"/>
    <w:rsid w:val="00E6140E"/>
    <w:rsid w:val="00E61C87"/>
    <w:rsid w:val="00E62A39"/>
    <w:rsid w:val="00E63036"/>
    <w:rsid w:val="00E63AB3"/>
    <w:rsid w:val="00E6494F"/>
    <w:rsid w:val="00E64FB5"/>
    <w:rsid w:val="00E6557A"/>
    <w:rsid w:val="00E66061"/>
    <w:rsid w:val="00E6612A"/>
    <w:rsid w:val="00E66A3A"/>
    <w:rsid w:val="00E66B7E"/>
    <w:rsid w:val="00E66FC3"/>
    <w:rsid w:val="00E671AB"/>
    <w:rsid w:val="00E67F91"/>
    <w:rsid w:val="00E7031E"/>
    <w:rsid w:val="00E70D6A"/>
    <w:rsid w:val="00E70F4B"/>
    <w:rsid w:val="00E722EE"/>
    <w:rsid w:val="00E7304A"/>
    <w:rsid w:val="00E73424"/>
    <w:rsid w:val="00E734AE"/>
    <w:rsid w:val="00E74390"/>
    <w:rsid w:val="00E755E2"/>
    <w:rsid w:val="00E75A33"/>
    <w:rsid w:val="00E76CD0"/>
    <w:rsid w:val="00E7742C"/>
    <w:rsid w:val="00E80CBC"/>
    <w:rsid w:val="00E81B44"/>
    <w:rsid w:val="00E81DBF"/>
    <w:rsid w:val="00E82984"/>
    <w:rsid w:val="00E82BAA"/>
    <w:rsid w:val="00E85B40"/>
    <w:rsid w:val="00E85D18"/>
    <w:rsid w:val="00E900B4"/>
    <w:rsid w:val="00E90379"/>
    <w:rsid w:val="00E90737"/>
    <w:rsid w:val="00E907C3"/>
    <w:rsid w:val="00E90EC9"/>
    <w:rsid w:val="00E90FAA"/>
    <w:rsid w:val="00E9129D"/>
    <w:rsid w:val="00E917F5"/>
    <w:rsid w:val="00E919B8"/>
    <w:rsid w:val="00E932E7"/>
    <w:rsid w:val="00E93C6C"/>
    <w:rsid w:val="00E943A2"/>
    <w:rsid w:val="00E9452A"/>
    <w:rsid w:val="00E94FC4"/>
    <w:rsid w:val="00E95B34"/>
    <w:rsid w:val="00E95B66"/>
    <w:rsid w:val="00E95C45"/>
    <w:rsid w:val="00E95DA0"/>
    <w:rsid w:val="00E9763A"/>
    <w:rsid w:val="00EA0263"/>
    <w:rsid w:val="00EA0443"/>
    <w:rsid w:val="00EA07EC"/>
    <w:rsid w:val="00EA0885"/>
    <w:rsid w:val="00EA0E47"/>
    <w:rsid w:val="00EA1476"/>
    <w:rsid w:val="00EA15D8"/>
    <w:rsid w:val="00EA1BE5"/>
    <w:rsid w:val="00EA2A28"/>
    <w:rsid w:val="00EA36ED"/>
    <w:rsid w:val="00EA3F16"/>
    <w:rsid w:val="00EA4859"/>
    <w:rsid w:val="00EA69BA"/>
    <w:rsid w:val="00EA6A88"/>
    <w:rsid w:val="00EA78A2"/>
    <w:rsid w:val="00EB0233"/>
    <w:rsid w:val="00EB0950"/>
    <w:rsid w:val="00EB09FD"/>
    <w:rsid w:val="00EB1655"/>
    <w:rsid w:val="00EB1CCA"/>
    <w:rsid w:val="00EB2187"/>
    <w:rsid w:val="00EB253E"/>
    <w:rsid w:val="00EB2553"/>
    <w:rsid w:val="00EB289E"/>
    <w:rsid w:val="00EB33C0"/>
    <w:rsid w:val="00EB3BF2"/>
    <w:rsid w:val="00EB411C"/>
    <w:rsid w:val="00EB5C84"/>
    <w:rsid w:val="00EB600C"/>
    <w:rsid w:val="00EB68A9"/>
    <w:rsid w:val="00EB6BD9"/>
    <w:rsid w:val="00EB7C14"/>
    <w:rsid w:val="00EB7E17"/>
    <w:rsid w:val="00EC0242"/>
    <w:rsid w:val="00EC090A"/>
    <w:rsid w:val="00EC18BA"/>
    <w:rsid w:val="00EC41A1"/>
    <w:rsid w:val="00EC67E3"/>
    <w:rsid w:val="00EC68FE"/>
    <w:rsid w:val="00EC7A5C"/>
    <w:rsid w:val="00ED0138"/>
    <w:rsid w:val="00ED03F1"/>
    <w:rsid w:val="00ED0430"/>
    <w:rsid w:val="00ED0AD7"/>
    <w:rsid w:val="00ED1794"/>
    <w:rsid w:val="00ED1A7A"/>
    <w:rsid w:val="00ED1E68"/>
    <w:rsid w:val="00ED220C"/>
    <w:rsid w:val="00ED25C8"/>
    <w:rsid w:val="00ED2703"/>
    <w:rsid w:val="00ED2D01"/>
    <w:rsid w:val="00ED2F58"/>
    <w:rsid w:val="00ED56B4"/>
    <w:rsid w:val="00ED6A8D"/>
    <w:rsid w:val="00ED75BC"/>
    <w:rsid w:val="00ED7DAA"/>
    <w:rsid w:val="00EE2D66"/>
    <w:rsid w:val="00EE3E89"/>
    <w:rsid w:val="00EE4A62"/>
    <w:rsid w:val="00EE4D89"/>
    <w:rsid w:val="00EE57A7"/>
    <w:rsid w:val="00EE5B14"/>
    <w:rsid w:val="00EE5D10"/>
    <w:rsid w:val="00EE7929"/>
    <w:rsid w:val="00EE7BF6"/>
    <w:rsid w:val="00EF233F"/>
    <w:rsid w:val="00EF34BA"/>
    <w:rsid w:val="00EF39A0"/>
    <w:rsid w:val="00EF5732"/>
    <w:rsid w:val="00EF57DC"/>
    <w:rsid w:val="00EF5B7D"/>
    <w:rsid w:val="00EF5D4B"/>
    <w:rsid w:val="00EF62B5"/>
    <w:rsid w:val="00EF667A"/>
    <w:rsid w:val="00EF71DE"/>
    <w:rsid w:val="00EF7562"/>
    <w:rsid w:val="00EF796F"/>
    <w:rsid w:val="00EF7AB2"/>
    <w:rsid w:val="00EF7CDF"/>
    <w:rsid w:val="00F0171E"/>
    <w:rsid w:val="00F01A87"/>
    <w:rsid w:val="00F0478F"/>
    <w:rsid w:val="00F04A55"/>
    <w:rsid w:val="00F057E4"/>
    <w:rsid w:val="00F05B9F"/>
    <w:rsid w:val="00F05F0A"/>
    <w:rsid w:val="00F0632A"/>
    <w:rsid w:val="00F06FF8"/>
    <w:rsid w:val="00F0728C"/>
    <w:rsid w:val="00F072C8"/>
    <w:rsid w:val="00F0784F"/>
    <w:rsid w:val="00F10D59"/>
    <w:rsid w:val="00F10D69"/>
    <w:rsid w:val="00F118C6"/>
    <w:rsid w:val="00F11BA1"/>
    <w:rsid w:val="00F121DA"/>
    <w:rsid w:val="00F12DF0"/>
    <w:rsid w:val="00F12E97"/>
    <w:rsid w:val="00F12F6C"/>
    <w:rsid w:val="00F133BD"/>
    <w:rsid w:val="00F13E72"/>
    <w:rsid w:val="00F14C39"/>
    <w:rsid w:val="00F156BC"/>
    <w:rsid w:val="00F15D70"/>
    <w:rsid w:val="00F16768"/>
    <w:rsid w:val="00F176EE"/>
    <w:rsid w:val="00F2024C"/>
    <w:rsid w:val="00F22D37"/>
    <w:rsid w:val="00F23120"/>
    <w:rsid w:val="00F24126"/>
    <w:rsid w:val="00F24DB7"/>
    <w:rsid w:val="00F257A0"/>
    <w:rsid w:val="00F2592A"/>
    <w:rsid w:val="00F2609F"/>
    <w:rsid w:val="00F27C94"/>
    <w:rsid w:val="00F3041D"/>
    <w:rsid w:val="00F30681"/>
    <w:rsid w:val="00F30B77"/>
    <w:rsid w:val="00F322AC"/>
    <w:rsid w:val="00F327E2"/>
    <w:rsid w:val="00F33339"/>
    <w:rsid w:val="00F33D40"/>
    <w:rsid w:val="00F34186"/>
    <w:rsid w:val="00F35019"/>
    <w:rsid w:val="00F35348"/>
    <w:rsid w:val="00F35F8F"/>
    <w:rsid w:val="00F3635D"/>
    <w:rsid w:val="00F36D8F"/>
    <w:rsid w:val="00F37346"/>
    <w:rsid w:val="00F37595"/>
    <w:rsid w:val="00F37D05"/>
    <w:rsid w:val="00F37EC4"/>
    <w:rsid w:val="00F41027"/>
    <w:rsid w:val="00F41E49"/>
    <w:rsid w:val="00F425EF"/>
    <w:rsid w:val="00F42B0E"/>
    <w:rsid w:val="00F42E60"/>
    <w:rsid w:val="00F43687"/>
    <w:rsid w:val="00F45410"/>
    <w:rsid w:val="00F46DA9"/>
    <w:rsid w:val="00F47328"/>
    <w:rsid w:val="00F501FF"/>
    <w:rsid w:val="00F50637"/>
    <w:rsid w:val="00F50875"/>
    <w:rsid w:val="00F50C7E"/>
    <w:rsid w:val="00F50DFB"/>
    <w:rsid w:val="00F5215C"/>
    <w:rsid w:val="00F528FA"/>
    <w:rsid w:val="00F568AD"/>
    <w:rsid w:val="00F5701D"/>
    <w:rsid w:val="00F570BB"/>
    <w:rsid w:val="00F57E86"/>
    <w:rsid w:val="00F62327"/>
    <w:rsid w:val="00F62610"/>
    <w:rsid w:val="00F631BD"/>
    <w:rsid w:val="00F636CA"/>
    <w:rsid w:val="00F63B81"/>
    <w:rsid w:val="00F647E9"/>
    <w:rsid w:val="00F6535F"/>
    <w:rsid w:val="00F66D98"/>
    <w:rsid w:val="00F66EC1"/>
    <w:rsid w:val="00F700AB"/>
    <w:rsid w:val="00F709D5"/>
    <w:rsid w:val="00F70D7C"/>
    <w:rsid w:val="00F71676"/>
    <w:rsid w:val="00F722F9"/>
    <w:rsid w:val="00F729A4"/>
    <w:rsid w:val="00F72BAB"/>
    <w:rsid w:val="00F72EB0"/>
    <w:rsid w:val="00F73252"/>
    <w:rsid w:val="00F736D4"/>
    <w:rsid w:val="00F73A3E"/>
    <w:rsid w:val="00F74668"/>
    <w:rsid w:val="00F7504B"/>
    <w:rsid w:val="00F755EA"/>
    <w:rsid w:val="00F75B1C"/>
    <w:rsid w:val="00F75D8C"/>
    <w:rsid w:val="00F808F5"/>
    <w:rsid w:val="00F80F47"/>
    <w:rsid w:val="00F80FD5"/>
    <w:rsid w:val="00F81128"/>
    <w:rsid w:val="00F81DE6"/>
    <w:rsid w:val="00F822C1"/>
    <w:rsid w:val="00F82D0C"/>
    <w:rsid w:val="00F83E50"/>
    <w:rsid w:val="00F856B6"/>
    <w:rsid w:val="00F8592F"/>
    <w:rsid w:val="00F8640F"/>
    <w:rsid w:val="00F8710A"/>
    <w:rsid w:val="00F9006E"/>
    <w:rsid w:val="00F9013D"/>
    <w:rsid w:val="00F90304"/>
    <w:rsid w:val="00F90881"/>
    <w:rsid w:val="00F90AB1"/>
    <w:rsid w:val="00F917BC"/>
    <w:rsid w:val="00F91B58"/>
    <w:rsid w:val="00F93242"/>
    <w:rsid w:val="00F94041"/>
    <w:rsid w:val="00F943DC"/>
    <w:rsid w:val="00F9451F"/>
    <w:rsid w:val="00F94828"/>
    <w:rsid w:val="00F94A65"/>
    <w:rsid w:val="00F95324"/>
    <w:rsid w:val="00F9606A"/>
    <w:rsid w:val="00F96080"/>
    <w:rsid w:val="00F96AB4"/>
    <w:rsid w:val="00F97F69"/>
    <w:rsid w:val="00FA0170"/>
    <w:rsid w:val="00FA11A2"/>
    <w:rsid w:val="00FA23C1"/>
    <w:rsid w:val="00FA27FA"/>
    <w:rsid w:val="00FA30C6"/>
    <w:rsid w:val="00FA35BD"/>
    <w:rsid w:val="00FA3BA4"/>
    <w:rsid w:val="00FA4990"/>
    <w:rsid w:val="00FA59E8"/>
    <w:rsid w:val="00FA6503"/>
    <w:rsid w:val="00FA693D"/>
    <w:rsid w:val="00FA6AC8"/>
    <w:rsid w:val="00FA6FEE"/>
    <w:rsid w:val="00FA7F3D"/>
    <w:rsid w:val="00FB13E5"/>
    <w:rsid w:val="00FB27BE"/>
    <w:rsid w:val="00FB356C"/>
    <w:rsid w:val="00FB4104"/>
    <w:rsid w:val="00FB4206"/>
    <w:rsid w:val="00FB466D"/>
    <w:rsid w:val="00FB507C"/>
    <w:rsid w:val="00FB6E4E"/>
    <w:rsid w:val="00FB7F33"/>
    <w:rsid w:val="00FC165B"/>
    <w:rsid w:val="00FC1D74"/>
    <w:rsid w:val="00FC1E01"/>
    <w:rsid w:val="00FC21BC"/>
    <w:rsid w:val="00FC4F6C"/>
    <w:rsid w:val="00FC5132"/>
    <w:rsid w:val="00FC5560"/>
    <w:rsid w:val="00FC5C6C"/>
    <w:rsid w:val="00FC68F4"/>
    <w:rsid w:val="00FC7B16"/>
    <w:rsid w:val="00FC7FE5"/>
    <w:rsid w:val="00FD016E"/>
    <w:rsid w:val="00FD0C78"/>
    <w:rsid w:val="00FD127D"/>
    <w:rsid w:val="00FD1467"/>
    <w:rsid w:val="00FD1981"/>
    <w:rsid w:val="00FD1C8A"/>
    <w:rsid w:val="00FD1F9B"/>
    <w:rsid w:val="00FD44F5"/>
    <w:rsid w:val="00FD4C53"/>
    <w:rsid w:val="00FD4F76"/>
    <w:rsid w:val="00FD5051"/>
    <w:rsid w:val="00FD7EE0"/>
    <w:rsid w:val="00FE0037"/>
    <w:rsid w:val="00FE01B4"/>
    <w:rsid w:val="00FE12C1"/>
    <w:rsid w:val="00FE1F73"/>
    <w:rsid w:val="00FE2110"/>
    <w:rsid w:val="00FE21B4"/>
    <w:rsid w:val="00FE2493"/>
    <w:rsid w:val="00FE3574"/>
    <w:rsid w:val="00FE663D"/>
    <w:rsid w:val="00FE6D22"/>
    <w:rsid w:val="00FE75CE"/>
    <w:rsid w:val="00FE7CA0"/>
    <w:rsid w:val="00FF029A"/>
    <w:rsid w:val="00FF106F"/>
    <w:rsid w:val="00FF21EF"/>
    <w:rsid w:val="00FF290B"/>
    <w:rsid w:val="00FF2A94"/>
    <w:rsid w:val="00FF2CBB"/>
    <w:rsid w:val="00FF37C7"/>
    <w:rsid w:val="00FF4AD9"/>
    <w:rsid w:val="00FF6527"/>
    <w:rsid w:val="00FF6659"/>
    <w:rsid w:val="00FF69BC"/>
    <w:rsid w:val="00FF6ABE"/>
    <w:rsid w:val="00FF6AE7"/>
    <w:rsid w:val="00FF7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2F0F06"/>
  <w15:docId w15:val="{EB55537F-C1D8-4431-8872-4520A1C8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6C"/>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6D2278"/>
    <w:pPr>
      <w:keepNext/>
      <w:keepLines/>
      <w:outlineLvl w:val="1"/>
    </w:pPr>
    <w:rPr>
      <w:rFonts w:ascii="Arial" w:eastAsiaTheme="majorEastAsia" w:hAnsi="Arial" w:cstheme="majorBidi"/>
      <w:b/>
      <w:bCs/>
      <w:sz w:val="28"/>
    </w:rPr>
  </w:style>
  <w:style w:type="paragraph" w:styleId="Rubrik3">
    <w:name w:val="heading 3"/>
    <w:basedOn w:val="Normal"/>
    <w:next w:val="Normal"/>
    <w:link w:val="Rubrik3Char"/>
    <w:uiPriority w:val="9"/>
    <w:unhideWhenUsed/>
    <w:qFormat/>
    <w:rsid w:val="008E1525"/>
    <w:pPr>
      <w:tabs>
        <w:tab w:val="clear" w:pos="3686"/>
      </w:tabs>
      <w:outlineLvl w:val="2"/>
    </w:pPr>
    <w:rPr>
      <w:rFonts w:ascii="Arial" w:hAnsi="Arial"/>
      <w: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6D2278"/>
    <w:rPr>
      <w:rFonts w:ascii="Arial" w:eastAsiaTheme="majorEastAsia" w:hAnsi="Arial" w:cstheme="majorBidi"/>
      <w:b/>
      <w:bCs/>
      <w:sz w:val="28"/>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8E1525"/>
    <w:rPr>
      <w:rFonts w:ascii="Arial" w:hAnsi="Arial"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7F5931"/>
    <w:pPr>
      <w:tabs>
        <w:tab w:val="left" w:pos="3686"/>
        <w:tab w:val="left" w:pos="4536"/>
      </w:tabs>
    </w:pPr>
    <w:rPr>
      <w:rFonts w:ascii="Book Antiqua" w:hAnsi="Book Antiqua" w:cs="Arial"/>
      <w:sz w:val="24"/>
      <w:szCs w:val="24"/>
    </w:rPr>
  </w:style>
  <w:style w:type="paragraph" w:customStyle="1" w:styleId="Default">
    <w:name w:val="Default"/>
    <w:rsid w:val="00A83412"/>
    <w:pPr>
      <w:autoSpaceDE w:val="0"/>
      <w:autoSpaceDN w:val="0"/>
      <w:adjustRightInd w:val="0"/>
    </w:pPr>
    <w:rPr>
      <w:rFonts w:ascii="Arial" w:hAnsi="Arial" w:cs="Arial"/>
      <w:color w:val="000000"/>
      <w:sz w:val="24"/>
      <w:szCs w:val="24"/>
    </w:rPr>
  </w:style>
  <w:style w:type="paragraph" w:styleId="Fotnotstext">
    <w:name w:val="footnote text"/>
    <w:basedOn w:val="Normal"/>
    <w:link w:val="FotnotstextChar"/>
    <w:semiHidden/>
    <w:unhideWhenUsed/>
    <w:rsid w:val="00927623"/>
    <w:rPr>
      <w:sz w:val="20"/>
      <w:szCs w:val="20"/>
    </w:rPr>
  </w:style>
  <w:style w:type="character" w:customStyle="1" w:styleId="FotnotstextChar">
    <w:name w:val="Fotnotstext Char"/>
    <w:basedOn w:val="Standardstycketeckensnitt"/>
    <w:link w:val="Fotnotstext"/>
    <w:semiHidden/>
    <w:rsid w:val="00927623"/>
    <w:rPr>
      <w:rFonts w:ascii="Book Antiqua" w:hAnsi="Book Antiqua" w:cs="Arial"/>
      <w:sz w:val="20"/>
      <w:szCs w:val="20"/>
    </w:rPr>
  </w:style>
  <w:style w:type="character" w:styleId="Fotnotsreferens">
    <w:name w:val="footnote reference"/>
    <w:basedOn w:val="Standardstycketeckensnitt"/>
    <w:semiHidden/>
    <w:unhideWhenUsed/>
    <w:rsid w:val="00927623"/>
    <w:rPr>
      <w:vertAlign w:val="superscript"/>
    </w:rPr>
  </w:style>
  <w:style w:type="character" w:styleId="Hyperlnk">
    <w:name w:val="Hyperlink"/>
    <w:basedOn w:val="Standardstycketeckensnitt"/>
    <w:uiPriority w:val="99"/>
    <w:unhideWhenUsed/>
    <w:rsid w:val="00927623"/>
    <w:rPr>
      <w:color w:val="0563C1"/>
      <w:u w:val="single"/>
    </w:rPr>
  </w:style>
  <w:style w:type="character" w:customStyle="1" w:styleId="Nmn1">
    <w:name w:val="Nämn1"/>
    <w:basedOn w:val="Standardstycketeckensnitt"/>
    <w:uiPriority w:val="99"/>
    <w:semiHidden/>
    <w:unhideWhenUsed/>
    <w:rsid w:val="008E1525"/>
    <w:rPr>
      <w:color w:val="2B579A"/>
      <w:shd w:val="clear" w:color="auto" w:fill="E6E6E6"/>
    </w:rPr>
  </w:style>
  <w:style w:type="paragraph" w:customStyle="1" w:styleId="Body">
    <w:name w:val="Body"/>
    <w:rsid w:val="00EA1BE5"/>
    <w:pPr>
      <w:pBdr>
        <w:top w:val="nil"/>
        <w:left w:val="nil"/>
        <w:bottom w:val="nil"/>
        <w:right w:val="nil"/>
        <w:between w:val="nil"/>
        <w:bar w:val="nil"/>
      </w:pBdr>
    </w:pPr>
    <w:rPr>
      <w:rFonts w:ascii="Helvetica" w:eastAsia="Arial Unicode MS" w:hAnsi="Helvetica" w:cs="Arial Unicode MS"/>
      <w:color w:val="000000"/>
      <w:bdr w:val="nil"/>
      <w:lang w:val="en-US"/>
    </w:rPr>
  </w:style>
  <w:style w:type="character" w:styleId="AnvndHyperlnk">
    <w:name w:val="FollowedHyperlink"/>
    <w:basedOn w:val="Standardstycketeckensnitt"/>
    <w:uiPriority w:val="99"/>
    <w:semiHidden/>
    <w:unhideWhenUsed/>
    <w:rsid w:val="00EA1BE5"/>
    <w:rPr>
      <w:color w:val="800080" w:themeColor="followedHyperlink"/>
      <w:u w:val="single"/>
    </w:rPr>
  </w:style>
  <w:style w:type="paragraph" w:styleId="Liststycke">
    <w:name w:val="List Paragraph"/>
    <w:basedOn w:val="Normal"/>
    <w:uiPriority w:val="34"/>
    <w:qFormat/>
    <w:rsid w:val="00CE67EE"/>
    <w:pPr>
      <w:ind w:left="720"/>
      <w:contextualSpacing/>
    </w:pPr>
  </w:style>
  <w:style w:type="paragraph" w:styleId="Normalwebb">
    <w:name w:val="Normal (Web)"/>
    <w:basedOn w:val="Normal"/>
    <w:uiPriority w:val="99"/>
    <w:unhideWhenUsed/>
    <w:rsid w:val="00FD7EE0"/>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character" w:customStyle="1" w:styleId="FodnotetekstTegn">
    <w:name w:val="Fodnotetekst Tegn"/>
    <w:aliases w:val="Tekst przypisu Tegn,Schriftart: 9 pt Tegn,Schriftart: 10 pt Tegn,Schriftart: 8 pt Tegn,WB-Fußnotentext Tegn,Footnote Tegn,Fußnote Tegn,Podrozdział Tegn,Tekst przypisu Znak Znak Znak Znak Tegn"/>
    <w:basedOn w:val="Standardstycketeckensnitt"/>
    <w:link w:val="Fodnotetekst"/>
    <w:locked/>
    <w:rsid w:val="003F4365"/>
    <w:rPr>
      <w:rFonts w:ascii="Arial" w:hAnsi="Arial" w:cs="Arial"/>
    </w:rPr>
  </w:style>
  <w:style w:type="paragraph" w:customStyle="1" w:styleId="Fodnotetekst">
    <w:name w:val="Fodnotetekst"/>
    <w:aliases w:val="Tekst przypisu,Schriftart: 9 pt,Schriftart: 10 pt,Schriftart: 8 pt,WB-Fußnotentext,Footnote,Fußnote,Podrozdział,Tekst przypisu Znak Znak Znak Znak,Tekst przypisu Znak Znak Znak Znak Znak"/>
    <w:basedOn w:val="Normal"/>
    <w:link w:val="FodnotetekstTegn"/>
    <w:rsid w:val="003F4365"/>
    <w:pPr>
      <w:tabs>
        <w:tab w:val="clear" w:pos="3686"/>
        <w:tab w:val="clear" w:pos="4536"/>
      </w:tabs>
    </w:pPr>
    <w:rPr>
      <w:rFonts w:ascii="Arial" w:hAnsi="Arial"/>
      <w:sz w:val="22"/>
      <w:szCs w:val="22"/>
    </w:rPr>
  </w:style>
  <w:style w:type="character" w:customStyle="1" w:styleId="Fodnotehenvisning">
    <w:name w:val="Fodnotehenvisning"/>
    <w:aliases w:val="Odwołanie przypisu,Footnote symbol,Footnote Reference Number"/>
    <w:basedOn w:val="Standardstycketeckensnitt"/>
    <w:rsid w:val="003F4365"/>
    <w:rPr>
      <w:vertAlign w:val="superscript"/>
    </w:rPr>
  </w:style>
  <w:style w:type="character" w:customStyle="1" w:styleId="Olstomnmnande1">
    <w:name w:val="Olöst omnämnande1"/>
    <w:basedOn w:val="Standardstycketeckensnitt"/>
    <w:uiPriority w:val="99"/>
    <w:semiHidden/>
    <w:unhideWhenUsed/>
    <w:rsid w:val="003E244D"/>
    <w:rPr>
      <w:color w:val="808080"/>
      <w:shd w:val="clear" w:color="auto" w:fill="E6E6E6"/>
    </w:rPr>
  </w:style>
  <w:style w:type="paragraph" w:styleId="Slutnotstext">
    <w:name w:val="endnote text"/>
    <w:basedOn w:val="Normal"/>
    <w:link w:val="SlutnotstextChar"/>
    <w:uiPriority w:val="99"/>
    <w:semiHidden/>
    <w:unhideWhenUsed/>
    <w:rsid w:val="00106C5D"/>
    <w:rPr>
      <w:sz w:val="20"/>
      <w:szCs w:val="20"/>
    </w:rPr>
  </w:style>
  <w:style w:type="character" w:customStyle="1" w:styleId="SlutnotstextChar">
    <w:name w:val="Slutnotstext Char"/>
    <w:basedOn w:val="Standardstycketeckensnitt"/>
    <w:link w:val="Slutnotstext"/>
    <w:uiPriority w:val="99"/>
    <w:semiHidden/>
    <w:rsid w:val="00106C5D"/>
    <w:rPr>
      <w:rFonts w:ascii="Book Antiqua" w:hAnsi="Book Antiqua" w:cs="Arial"/>
      <w:sz w:val="20"/>
      <w:szCs w:val="20"/>
    </w:rPr>
  </w:style>
  <w:style w:type="character" w:styleId="Slutnotsreferens">
    <w:name w:val="endnote reference"/>
    <w:basedOn w:val="Standardstycketeckensnitt"/>
    <w:uiPriority w:val="99"/>
    <w:semiHidden/>
    <w:unhideWhenUsed/>
    <w:rsid w:val="00106C5D"/>
    <w:rPr>
      <w:vertAlign w:val="superscript"/>
    </w:rPr>
  </w:style>
  <w:style w:type="character" w:styleId="Kommentarsreferens">
    <w:name w:val="annotation reference"/>
    <w:basedOn w:val="Standardstycketeckensnitt"/>
    <w:uiPriority w:val="99"/>
    <w:semiHidden/>
    <w:unhideWhenUsed/>
    <w:rsid w:val="006A7DE7"/>
    <w:rPr>
      <w:sz w:val="16"/>
      <w:szCs w:val="16"/>
    </w:rPr>
  </w:style>
  <w:style w:type="paragraph" w:styleId="Kommentarer">
    <w:name w:val="annotation text"/>
    <w:basedOn w:val="Normal"/>
    <w:link w:val="KommentarerChar"/>
    <w:uiPriority w:val="99"/>
    <w:unhideWhenUsed/>
    <w:rsid w:val="006A7DE7"/>
    <w:rPr>
      <w:sz w:val="20"/>
      <w:szCs w:val="20"/>
    </w:rPr>
  </w:style>
  <w:style w:type="character" w:customStyle="1" w:styleId="KommentarerChar">
    <w:name w:val="Kommentarer Char"/>
    <w:basedOn w:val="Standardstycketeckensnitt"/>
    <w:link w:val="Kommentarer"/>
    <w:uiPriority w:val="99"/>
    <w:rsid w:val="006A7DE7"/>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6A7DE7"/>
    <w:rPr>
      <w:b/>
      <w:bCs/>
    </w:rPr>
  </w:style>
  <w:style w:type="character" w:customStyle="1" w:styleId="KommentarsmneChar">
    <w:name w:val="Kommentarsämne Char"/>
    <w:basedOn w:val="KommentarerChar"/>
    <w:link w:val="Kommentarsmne"/>
    <w:uiPriority w:val="99"/>
    <w:semiHidden/>
    <w:rsid w:val="006A7DE7"/>
    <w:rPr>
      <w:rFonts w:ascii="Book Antiqua" w:hAnsi="Book Antiqua" w:cs="Arial"/>
      <w:b/>
      <w:bCs/>
      <w:sz w:val="20"/>
      <w:szCs w:val="20"/>
    </w:rPr>
  </w:style>
  <w:style w:type="character" w:styleId="Olstomnmnande">
    <w:name w:val="Unresolved Mention"/>
    <w:basedOn w:val="Standardstycketeckensnitt"/>
    <w:uiPriority w:val="99"/>
    <w:semiHidden/>
    <w:unhideWhenUsed/>
    <w:rsid w:val="00EF7562"/>
    <w:rPr>
      <w:color w:val="605E5C"/>
      <w:shd w:val="clear" w:color="auto" w:fill="E1DFDD"/>
    </w:rPr>
  </w:style>
  <w:style w:type="paragraph" w:customStyle="1" w:styleId="ti-art">
    <w:name w:val="ti-art"/>
    <w:basedOn w:val="Normal"/>
    <w:rsid w:val="0096043C"/>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paragraph" w:customStyle="1" w:styleId="sti-art">
    <w:name w:val="sti-art"/>
    <w:basedOn w:val="Normal"/>
    <w:rsid w:val="0096043C"/>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paragraph" w:customStyle="1" w:styleId="Normal1">
    <w:name w:val="Normal1"/>
    <w:basedOn w:val="Normal"/>
    <w:rsid w:val="0096043C"/>
    <w:pPr>
      <w:tabs>
        <w:tab w:val="clear" w:pos="3686"/>
        <w:tab w:val="clear" w:pos="4536"/>
      </w:tabs>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513">
      <w:bodyDiv w:val="1"/>
      <w:marLeft w:val="0"/>
      <w:marRight w:val="0"/>
      <w:marTop w:val="0"/>
      <w:marBottom w:val="0"/>
      <w:divBdr>
        <w:top w:val="none" w:sz="0" w:space="0" w:color="auto"/>
        <w:left w:val="none" w:sz="0" w:space="0" w:color="auto"/>
        <w:bottom w:val="none" w:sz="0" w:space="0" w:color="auto"/>
        <w:right w:val="none" w:sz="0" w:space="0" w:color="auto"/>
      </w:divBdr>
      <w:divsChild>
        <w:div w:id="2113239104">
          <w:marLeft w:val="360"/>
          <w:marRight w:val="0"/>
          <w:marTop w:val="200"/>
          <w:marBottom w:val="0"/>
          <w:divBdr>
            <w:top w:val="none" w:sz="0" w:space="0" w:color="auto"/>
            <w:left w:val="none" w:sz="0" w:space="0" w:color="auto"/>
            <w:bottom w:val="none" w:sz="0" w:space="0" w:color="auto"/>
            <w:right w:val="none" w:sz="0" w:space="0" w:color="auto"/>
          </w:divBdr>
        </w:div>
        <w:div w:id="117769880">
          <w:marLeft w:val="360"/>
          <w:marRight w:val="0"/>
          <w:marTop w:val="200"/>
          <w:marBottom w:val="0"/>
          <w:divBdr>
            <w:top w:val="none" w:sz="0" w:space="0" w:color="auto"/>
            <w:left w:val="none" w:sz="0" w:space="0" w:color="auto"/>
            <w:bottom w:val="none" w:sz="0" w:space="0" w:color="auto"/>
            <w:right w:val="none" w:sz="0" w:space="0" w:color="auto"/>
          </w:divBdr>
        </w:div>
        <w:div w:id="2126072390">
          <w:marLeft w:val="360"/>
          <w:marRight w:val="0"/>
          <w:marTop w:val="200"/>
          <w:marBottom w:val="0"/>
          <w:divBdr>
            <w:top w:val="none" w:sz="0" w:space="0" w:color="auto"/>
            <w:left w:val="none" w:sz="0" w:space="0" w:color="auto"/>
            <w:bottom w:val="none" w:sz="0" w:space="0" w:color="auto"/>
            <w:right w:val="none" w:sz="0" w:space="0" w:color="auto"/>
          </w:divBdr>
        </w:div>
      </w:divsChild>
    </w:div>
    <w:div w:id="139083286">
      <w:bodyDiv w:val="1"/>
      <w:marLeft w:val="0"/>
      <w:marRight w:val="0"/>
      <w:marTop w:val="0"/>
      <w:marBottom w:val="0"/>
      <w:divBdr>
        <w:top w:val="none" w:sz="0" w:space="0" w:color="auto"/>
        <w:left w:val="none" w:sz="0" w:space="0" w:color="auto"/>
        <w:bottom w:val="none" w:sz="0" w:space="0" w:color="auto"/>
        <w:right w:val="none" w:sz="0" w:space="0" w:color="auto"/>
      </w:divBdr>
    </w:div>
    <w:div w:id="147331564">
      <w:bodyDiv w:val="1"/>
      <w:marLeft w:val="0"/>
      <w:marRight w:val="0"/>
      <w:marTop w:val="0"/>
      <w:marBottom w:val="0"/>
      <w:divBdr>
        <w:top w:val="none" w:sz="0" w:space="0" w:color="auto"/>
        <w:left w:val="none" w:sz="0" w:space="0" w:color="auto"/>
        <w:bottom w:val="none" w:sz="0" w:space="0" w:color="auto"/>
        <w:right w:val="none" w:sz="0" w:space="0" w:color="auto"/>
      </w:divBdr>
    </w:div>
    <w:div w:id="192233204">
      <w:bodyDiv w:val="1"/>
      <w:marLeft w:val="0"/>
      <w:marRight w:val="0"/>
      <w:marTop w:val="0"/>
      <w:marBottom w:val="0"/>
      <w:divBdr>
        <w:top w:val="none" w:sz="0" w:space="0" w:color="auto"/>
        <w:left w:val="none" w:sz="0" w:space="0" w:color="auto"/>
        <w:bottom w:val="none" w:sz="0" w:space="0" w:color="auto"/>
        <w:right w:val="none" w:sz="0" w:space="0" w:color="auto"/>
      </w:divBdr>
    </w:div>
    <w:div w:id="263852857">
      <w:bodyDiv w:val="1"/>
      <w:marLeft w:val="0"/>
      <w:marRight w:val="0"/>
      <w:marTop w:val="0"/>
      <w:marBottom w:val="0"/>
      <w:divBdr>
        <w:top w:val="none" w:sz="0" w:space="0" w:color="auto"/>
        <w:left w:val="none" w:sz="0" w:space="0" w:color="auto"/>
        <w:bottom w:val="none" w:sz="0" w:space="0" w:color="auto"/>
        <w:right w:val="none" w:sz="0" w:space="0" w:color="auto"/>
      </w:divBdr>
    </w:div>
    <w:div w:id="275908078">
      <w:bodyDiv w:val="1"/>
      <w:marLeft w:val="0"/>
      <w:marRight w:val="0"/>
      <w:marTop w:val="0"/>
      <w:marBottom w:val="0"/>
      <w:divBdr>
        <w:top w:val="none" w:sz="0" w:space="0" w:color="auto"/>
        <w:left w:val="none" w:sz="0" w:space="0" w:color="auto"/>
        <w:bottom w:val="none" w:sz="0" w:space="0" w:color="auto"/>
        <w:right w:val="none" w:sz="0" w:space="0" w:color="auto"/>
      </w:divBdr>
    </w:div>
    <w:div w:id="315498700">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758135342">
      <w:bodyDiv w:val="1"/>
      <w:marLeft w:val="0"/>
      <w:marRight w:val="0"/>
      <w:marTop w:val="0"/>
      <w:marBottom w:val="0"/>
      <w:divBdr>
        <w:top w:val="none" w:sz="0" w:space="0" w:color="auto"/>
        <w:left w:val="none" w:sz="0" w:space="0" w:color="auto"/>
        <w:bottom w:val="none" w:sz="0" w:space="0" w:color="auto"/>
        <w:right w:val="none" w:sz="0" w:space="0" w:color="auto"/>
      </w:divBdr>
    </w:div>
    <w:div w:id="777142950">
      <w:bodyDiv w:val="1"/>
      <w:marLeft w:val="0"/>
      <w:marRight w:val="0"/>
      <w:marTop w:val="0"/>
      <w:marBottom w:val="0"/>
      <w:divBdr>
        <w:top w:val="none" w:sz="0" w:space="0" w:color="auto"/>
        <w:left w:val="none" w:sz="0" w:space="0" w:color="auto"/>
        <w:bottom w:val="none" w:sz="0" w:space="0" w:color="auto"/>
        <w:right w:val="none" w:sz="0" w:space="0" w:color="auto"/>
      </w:divBdr>
    </w:div>
    <w:div w:id="788815086">
      <w:bodyDiv w:val="1"/>
      <w:marLeft w:val="0"/>
      <w:marRight w:val="0"/>
      <w:marTop w:val="0"/>
      <w:marBottom w:val="0"/>
      <w:divBdr>
        <w:top w:val="none" w:sz="0" w:space="0" w:color="auto"/>
        <w:left w:val="none" w:sz="0" w:space="0" w:color="auto"/>
        <w:bottom w:val="none" w:sz="0" w:space="0" w:color="auto"/>
        <w:right w:val="none" w:sz="0" w:space="0" w:color="auto"/>
      </w:divBdr>
    </w:div>
    <w:div w:id="789008245">
      <w:bodyDiv w:val="1"/>
      <w:marLeft w:val="0"/>
      <w:marRight w:val="0"/>
      <w:marTop w:val="0"/>
      <w:marBottom w:val="0"/>
      <w:divBdr>
        <w:top w:val="none" w:sz="0" w:space="0" w:color="auto"/>
        <w:left w:val="none" w:sz="0" w:space="0" w:color="auto"/>
        <w:bottom w:val="none" w:sz="0" w:space="0" w:color="auto"/>
        <w:right w:val="none" w:sz="0" w:space="0" w:color="auto"/>
      </w:divBdr>
    </w:div>
    <w:div w:id="915020077">
      <w:bodyDiv w:val="1"/>
      <w:marLeft w:val="0"/>
      <w:marRight w:val="0"/>
      <w:marTop w:val="0"/>
      <w:marBottom w:val="0"/>
      <w:divBdr>
        <w:top w:val="none" w:sz="0" w:space="0" w:color="auto"/>
        <w:left w:val="none" w:sz="0" w:space="0" w:color="auto"/>
        <w:bottom w:val="none" w:sz="0" w:space="0" w:color="auto"/>
        <w:right w:val="none" w:sz="0" w:space="0" w:color="auto"/>
      </w:divBdr>
    </w:div>
    <w:div w:id="1040131247">
      <w:bodyDiv w:val="1"/>
      <w:marLeft w:val="0"/>
      <w:marRight w:val="0"/>
      <w:marTop w:val="0"/>
      <w:marBottom w:val="0"/>
      <w:divBdr>
        <w:top w:val="none" w:sz="0" w:space="0" w:color="auto"/>
        <w:left w:val="none" w:sz="0" w:space="0" w:color="auto"/>
        <w:bottom w:val="none" w:sz="0" w:space="0" w:color="auto"/>
        <w:right w:val="none" w:sz="0" w:space="0" w:color="auto"/>
      </w:divBdr>
    </w:div>
    <w:div w:id="1214123851">
      <w:bodyDiv w:val="1"/>
      <w:marLeft w:val="0"/>
      <w:marRight w:val="0"/>
      <w:marTop w:val="0"/>
      <w:marBottom w:val="0"/>
      <w:divBdr>
        <w:top w:val="none" w:sz="0" w:space="0" w:color="auto"/>
        <w:left w:val="none" w:sz="0" w:space="0" w:color="auto"/>
        <w:bottom w:val="none" w:sz="0" w:space="0" w:color="auto"/>
        <w:right w:val="none" w:sz="0" w:space="0" w:color="auto"/>
      </w:divBdr>
    </w:div>
    <w:div w:id="1269041325">
      <w:bodyDiv w:val="1"/>
      <w:marLeft w:val="0"/>
      <w:marRight w:val="0"/>
      <w:marTop w:val="0"/>
      <w:marBottom w:val="0"/>
      <w:divBdr>
        <w:top w:val="none" w:sz="0" w:space="0" w:color="auto"/>
        <w:left w:val="none" w:sz="0" w:space="0" w:color="auto"/>
        <w:bottom w:val="none" w:sz="0" w:space="0" w:color="auto"/>
        <w:right w:val="none" w:sz="0" w:space="0" w:color="auto"/>
      </w:divBdr>
    </w:div>
    <w:div w:id="1281690011">
      <w:bodyDiv w:val="1"/>
      <w:marLeft w:val="0"/>
      <w:marRight w:val="0"/>
      <w:marTop w:val="0"/>
      <w:marBottom w:val="0"/>
      <w:divBdr>
        <w:top w:val="none" w:sz="0" w:space="0" w:color="auto"/>
        <w:left w:val="none" w:sz="0" w:space="0" w:color="auto"/>
        <w:bottom w:val="none" w:sz="0" w:space="0" w:color="auto"/>
        <w:right w:val="none" w:sz="0" w:space="0" w:color="auto"/>
      </w:divBdr>
    </w:div>
    <w:div w:id="1441071272">
      <w:bodyDiv w:val="1"/>
      <w:marLeft w:val="0"/>
      <w:marRight w:val="0"/>
      <w:marTop w:val="0"/>
      <w:marBottom w:val="0"/>
      <w:divBdr>
        <w:top w:val="none" w:sz="0" w:space="0" w:color="auto"/>
        <w:left w:val="none" w:sz="0" w:space="0" w:color="auto"/>
        <w:bottom w:val="none" w:sz="0" w:space="0" w:color="auto"/>
        <w:right w:val="none" w:sz="0" w:space="0" w:color="auto"/>
      </w:divBdr>
    </w:div>
    <w:div w:id="1834560629">
      <w:bodyDiv w:val="1"/>
      <w:marLeft w:val="0"/>
      <w:marRight w:val="0"/>
      <w:marTop w:val="0"/>
      <w:marBottom w:val="0"/>
      <w:divBdr>
        <w:top w:val="none" w:sz="0" w:space="0" w:color="auto"/>
        <w:left w:val="none" w:sz="0" w:space="0" w:color="auto"/>
        <w:bottom w:val="none" w:sz="0" w:space="0" w:color="auto"/>
        <w:right w:val="none" w:sz="0" w:space="0" w:color="auto"/>
      </w:divBdr>
    </w:div>
    <w:div w:id="1860191466">
      <w:bodyDiv w:val="1"/>
      <w:marLeft w:val="0"/>
      <w:marRight w:val="0"/>
      <w:marTop w:val="0"/>
      <w:marBottom w:val="0"/>
      <w:divBdr>
        <w:top w:val="none" w:sz="0" w:space="0" w:color="auto"/>
        <w:left w:val="none" w:sz="0" w:space="0" w:color="auto"/>
        <w:bottom w:val="none" w:sz="0" w:space="0" w:color="auto"/>
        <w:right w:val="none" w:sz="0" w:space="0" w:color="auto"/>
      </w:divBdr>
    </w:div>
    <w:div w:id="1999380127">
      <w:bodyDiv w:val="1"/>
      <w:marLeft w:val="0"/>
      <w:marRight w:val="0"/>
      <w:marTop w:val="0"/>
      <w:marBottom w:val="0"/>
      <w:divBdr>
        <w:top w:val="none" w:sz="0" w:space="0" w:color="auto"/>
        <w:left w:val="none" w:sz="0" w:space="0" w:color="auto"/>
        <w:bottom w:val="none" w:sz="0" w:space="0" w:color="auto"/>
        <w:right w:val="none" w:sz="0" w:space="0" w:color="auto"/>
      </w:divBdr>
    </w:div>
    <w:div w:id="2017339078">
      <w:bodyDiv w:val="1"/>
      <w:marLeft w:val="0"/>
      <w:marRight w:val="0"/>
      <w:marTop w:val="0"/>
      <w:marBottom w:val="0"/>
      <w:divBdr>
        <w:top w:val="none" w:sz="0" w:space="0" w:color="auto"/>
        <w:left w:val="none" w:sz="0" w:space="0" w:color="auto"/>
        <w:bottom w:val="none" w:sz="0" w:space="0" w:color="auto"/>
        <w:right w:val="none" w:sz="0" w:space="0" w:color="auto"/>
      </w:divBdr>
    </w:div>
    <w:div w:id="2081903027">
      <w:bodyDiv w:val="1"/>
      <w:marLeft w:val="0"/>
      <w:marRight w:val="0"/>
      <w:marTop w:val="0"/>
      <w:marBottom w:val="0"/>
      <w:divBdr>
        <w:top w:val="none" w:sz="0" w:space="0" w:color="auto"/>
        <w:left w:val="none" w:sz="0" w:space="0" w:color="auto"/>
        <w:bottom w:val="none" w:sz="0" w:space="0" w:color="auto"/>
        <w:right w:val="none" w:sz="0" w:space="0" w:color="auto"/>
      </w:divBdr>
    </w:div>
    <w:div w:id="20925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of@regeringskansliet.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21/1058" TargetMode="External"/><Relationship Id="rId13" Type="http://schemas.openxmlformats.org/officeDocument/2006/relationships/hyperlink" Target="https://www.uutilsynet.no/tilsyn/difi-avsluttar-tilsyn-med-sas-utan-dagboter/133" TargetMode="External"/><Relationship Id="rId18" Type="http://schemas.openxmlformats.org/officeDocument/2006/relationships/hyperlink" Target="https://www.access-board.gov/webinars/2021/09/28/section-508-best-practices-the-civil-rights-complaint-portal-an-accessibility-journey/" TargetMode="External"/><Relationship Id="rId3" Type="http://schemas.openxmlformats.org/officeDocument/2006/relationships/hyperlink" Target="https://eur-lex.europa.eu/legal-content/EN/TXT/?uri=uriserv%3AOJ.L_.2018.321.01.0036.01.ENG" TargetMode="External"/><Relationship Id="rId7" Type="http://schemas.openxmlformats.org/officeDocument/2006/relationships/hyperlink" Target="https://eur-lex.europa.eu/legal-content/EN/TXT/?uri=CELEX:32021R1057" TargetMode="External"/><Relationship Id="rId12" Type="http://schemas.openxmlformats.org/officeDocument/2006/relationships/hyperlink" Target="https://ec.europa.eu/social/main.jsp?catId=738&amp;langId=en&amp;pubId=8376&amp;furtherPubs=yes" TargetMode="External"/><Relationship Id="rId17" Type="http://schemas.openxmlformats.org/officeDocument/2006/relationships/hyperlink" Target="https://civilrights.justice.gov/" TargetMode="External"/><Relationship Id="rId2" Type="http://schemas.openxmlformats.org/officeDocument/2006/relationships/hyperlink" Target="https://ec.europa.eu/energy/sites/ener/files/eu_renovation_wave_strategy.pdf" TargetMode="External"/><Relationship Id="rId16" Type="http://schemas.openxmlformats.org/officeDocument/2006/relationships/hyperlink" Target="https://www.domstol.se/globalassets/filer/domstol/hogstadomstolen/avgoranden/2017/o-556-17.pdf" TargetMode="External"/><Relationship Id="rId1" Type="http://schemas.openxmlformats.org/officeDocument/2006/relationships/hyperlink" Target="https://www.regeringen.se/rapporter/2019/10/sveriges-sammanslagna-andra-och-tredje-rapport-till-fns-kommitte-for-konventionen-om-rattigheter-for-personer-med-funktionsnedsattning/" TargetMode="External"/><Relationship Id="rId6" Type="http://schemas.openxmlformats.org/officeDocument/2006/relationships/hyperlink" Target="https://eur-lex.europa.eu/legal-content/EN/TXT/?uri=CELEX%3A32021R1060" TargetMode="External"/><Relationship Id="rId11" Type="http://schemas.openxmlformats.org/officeDocument/2006/relationships/hyperlink" Target="https://www.regeringen.se/4a8216/contentassets/b8c121037d7746899d4de4329e5159e8/strategi-for-systematisk-uppfoljning-av-funktionshinderspolitiken-under-2021-2031.pdf" TargetMode="External"/><Relationship Id="rId5" Type="http://schemas.openxmlformats.org/officeDocument/2006/relationships/hyperlink" Target="https://www.regeringen.se/4a8d1d/contentassets/bc526ed9d57649faaeabce2270e00d45/1170025_lrr_kompletterande-bestammelser-298s_2.pdf" TargetMode="External"/><Relationship Id="rId15" Type="http://schemas.openxmlformats.org/officeDocument/2006/relationships/hyperlink" Target="https://funktionsratt.se/wp-content/uploads/2019/11/Skrivelse-Riv-hindren-Tillg%C3%A4nglighet-oktober-2019.pdf" TargetMode="External"/><Relationship Id="rId10" Type="http://schemas.openxmlformats.org/officeDocument/2006/relationships/hyperlink" Target="https://ec.europa.eu/growth/single-market/european-standards/harmonised-standards_en" TargetMode="External"/><Relationship Id="rId4" Type="http://schemas.openxmlformats.org/officeDocument/2006/relationships/hyperlink" Target="https://eur-lex.europa.eu/legal-content/EN/TXT/PDF/?uri=CELEX:32014L0024" TargetMode="External"/><Relationship Id="rId9" Type="http://schemas.openxmlformats.org/officeDocument/2006/relationships/hyperlink" Target="https://ec.europa.eu/info/law/law-making-process/applying-eu-law/infringement-procedure_sv" TargetMode="External"/><Relationship Id="rId14" Type="http://schemas.openxmlformats.org/officeDocument/2006/relationships/hyperlink" Target="https://www.transportation.gov/briefing-room/dot74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1CB2D358E2240B8DBA1EC15E8C8F7" ma:contentTypeVersion="13" ma:contentTypeDescription="Skapa ett nytt dokument." ma:contentTypeScope="" ma:versionID="8f85e629d21683c03dea8852cb013690">
  <xsd:schema xmlns:xsd="http://www.w3.org/2001/XMLSchema" xmlns:xs="http://www.w3.org/2001/XMLSchema" xmlns:p="http://schemas.microsoft.com/office/2006/metadata/properties" xmlns:ns3="ee9f23e6-2882-4134-9071-eef0b4afe314" xmlns:ns4="a2664661-baca-4fc9-aa54-a31182c8da15" targetNamespace="http://schemas.microsoft.com/office/2006/metadata/properties" ma:root="true" ma:fieldsID="7b8be73fed857e234190aae0406f0bca" ns3:_="" ns4:_="">
    <xsd:import namespace="ee9f23e6-2882-4134-9071-eef0b4afe314"/>
    <xsd:import namespace="a2664661-baca-4fc9-aa54-a31182c8da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f23e6-2882-4134-9071-eef0b4afe314"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64661-baca-4fc9-aa54-a31182c8da1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B8A45-E46B-42DB-8D67-8EC030B5C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f23e6-2882-4134-9071-eef0b4afe314"/>
    <ds:schemaRef ds:uri="a2664661-baca-4fc9-aa54-a31182c8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4.xml><?xml version="1.0" encoding="utf-8"?>
<ds:datastoreItem xmlns:ds="http://schemas.openxmlformats.org/officeDocument/2006/customXml" ds:itemID="{E66B877B-BFD5-46AD-ABB5-06EFED47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4550</Words>
  <Characters>24121</Characters>
  <Application>Microsoft Office Word</Application>
  <DocSecurity>4</DocSecurity>
  <Lines>201</Lines>
  <Paragraphs>57</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Nyström Karlsson</dc:creator>
  <cp:keywords/>
  <dc:description/>
  <cp:lastModifiedBy>Mia Ahlgren</cp:lastModifiedBy>
  <cp:revision>2</cp:revision>
  <cp:lastPrinted>2020-11-28T17:12:00Z</cp:lastPrinted>
  <dcterms:created xsi:type="dcterms:W3CDTF">2021-10-18T06:45:00Z</dcterms:created>
  <dcterms:modified xsi:type="dcterms:W3CDTF">2021-10-18T06:45:00Z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0x010100E0B1CB2D358E2240B8DBA1EC15E8C8F7</vt:lpwstr>
  </property>
  <property fmtid="{D5CDD505-2E9C-101B-9397-08002B2CF9AE}" pid="3" name="TaxKeyword">
    <vt:lpwstr/>
  </property>
  <property fmtid="{D5CDD505-2E9C-101B-9397-08002B2CF9AE}" pid="4" name="Order">
    <vt:r8>3200000</vt:r8>
  </property>
</Properties>
</file>