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31CE7" w14:textId="5153840A" w:rsidR="00416C25" w:rsidRDefault="000D07EF" w:rsidP="000A2BB1">
      <w:r>
        <w:tab/>
        <w:t xml:space="preserve">Sundbyberg </w:t>
      </w:r>
      <w:r w:rsidR="00B325DC">
        <w:t>202</w:t>
      </w:r>
      <w:r w:rsidR="004B67F6">
        <w:t>4-</w:t>
      </w:r>
      <w:r w:rsidR="00DC6C9C">
        <w:t>06-</w:t>
      </w:r>
      <w:r w:rsidR="0059011F">
        <w:t>2</w:t>
      </w:r>
      <w:r w:rsidR="0014161A">
        <w:t>7</w:t>
      </w:r>
    </w:p>
    <w:p w14:paraId="33E89450" w14:textId="5A5C10A0" w:rsidR="000A2BB1" w:rsidRDefault="000A2BB1" w:rsidP="000A2BB1">
      <w:r w:rsidRPr="00AE1B7D">
        <w:rPr>
          <w:b/>
          <w:bCs/>
        </w:rPr>
        <w:t>Diarienummer:</w:t>
      </w:r>
      <w:r w:rsidR="008D04A9">
        <w:t xml:space="preserve"> </w:t>
      </w:r>
      <w:r w:rsidR="00BC1C5A">
        <w:t>Fi</w:t>
      </w:r>
      <w:r w:rsidR="00126D93">
        <w:t>202</w:t>
      </w:r>
      <w:r w:rsidR="00BC1C5A">
        <w:t>4</w:t>
      </w:r>
      <w:r w:rsidR="00126D93">
        <w:t>/0</w:t>
      </w:r>
      <w:r w:rsidR="00BC1C5A">
        <w:t>0894</w:t>
      </w:r>
    </w:p>
    <w:p w14:paraId="7C8E8685" w14:textId="77777777" w:rsidR="000A2BB1" w:rsidRDefault="000A2BB1" w:rsidP="000A2BB1"/>
    <w:p w14:paraId="02CB84C5" w14:textId="0639192A" w:rsidR="000A2BB1" w:rsidRDefault="000A2BB1" w:rsidP="000A2BB1">
      <w:r w:rsidRPr="00AE1B7D">
        <w:rPr>
          <w:b/>
          <w:bCs/>
        </w:rPr>
        <w:t>Vår referens:</w:t>
      </w:r>
      <w:r w:rsidR="008D04A9">
        <w:t xml:space="preserve"> </w:t>
      </w:r>
      <w:r w:rsidR="00126D93">
        <w:t>Mia Ahlgren</w:t>
      </w:r>
    </w:p>
    <w:p w14:paraId="7AC08D33" w14:textId="74EC1204" w:rsidR="00AE1B7D" w:rsidRDefault="00000000" w:rsidP="000A2BB1">
      <w:hyperlink r:id="rId11" w:history="1">
        <w:r w:rsidR="00326E84" w:rsidRPr="003E44BC">
          <w:rPr>
            <w:rStyle w:val="Hyperlnk"/>
          </w:rPr>
          <w:t>mia.ahlgren@funktionsratt.se</w:t>
        </w:r>
      </w:hyperlink>
      <w:r w:rsidR="00326E84">
        <w:t xml:space="preserve"> </w:t>
      </w:r>
    </w:p>
    <w:p w14:paraId="2D5042B4" w14:textId="77777777" w:rsidR="000A2BB1" w:rsidRDefault="001404A9" w:rsidP="000A2BB1">
      <w:pPr>
        <w:rPr>
          <w:b/>
          <w:bCs/>
        </w:rPr>
      </w:pPr>
      <w:r>
        <w:tab/>
      </w:r>
      <w:r w:rsidR="000A2BB1" w:rsidRPr="00AE1B7D">
        <w:rPr>
          <w:b/>
          <w:bCs/>
        </w:rPr>
        <w:t xml:space="preserve">Mottagare: </w:t>
      </w:r>
    </w:p>
    <w:p w14:paraId="471C64F1" w14:textId="0353A965" w:rsidR="001D4149" w:rsidRPr="00A74821" w:rsidRDefault="00D968E5" w:rsidP="00BC1C5A">
      <w:pPr>
        <w:rPr>
          <w:lang w:val="fi-FI"/>
        </w:rPr>
      </w:pPr>
      <w:r>
        <w:rPr>
          <w:b/>
          <w:bCs/>
        </w:rPr>
        <w:tab/>
      </w:r>
      <w:hyperlink r:id="rId12" w:history="1">
        <w:r w:rsidR="0078387D" w:rsidRPr="00AD3887">
          <w:rPr>
            <w:rStyle w:val="Hyperlnk"/>
          </w:rPr>
          <w:t>fi.remissvar@regeringskansliet.se</w:t>
        </w:r>
      </w:hyperlink>
      <w:r w:rsidR="0078387D">
        <w:tab/>
      </w:r>
      <w:hyperlink r:id="rId13" w:history="1">
        <w:r w:rsidR="0078387D" w:rsidRPr="00AD3887">
          <w:rPr>
            <w:rStyle w:val="Hyperlnk"/>
          </w:rPr>
          <w:t>fi.ba.eu@regeringskansliet.se</w:t>
        </w:r>
      </w:hyperlink>
      <w:r w:rsidR="0078387D">
        <w:t xml:space="preserve"> </w:t>
      </w:r>
    </w:p>
    <w:p w14:paraId="7B1BCCB4" w14:textId="77777777" w:rsidR="000A2BB1" w:rsidRPr="00A74821" w:rsidRDefault="000A2BB1" w:rsidP="000A2BB1">
      <w:pPr>
        <w:rPr>
          <w:lang w:val="fi-FI"/>
        </w:rPr>
      </w:pPr>
    </w:p>
    <w:p w14:paraId="3EBBFCDF" w14:textId="77777777" w:rsidR="006A67B1" w:rsidRDefault="00A263E8" w:rsidP="00B11AAE">
      <w:pPr>
        <w:pStyle w:val="Rubrik1"/>
        <w:rPr>
          <w:sz w:val="28"/>
          <w:szCs w:val="28"/>
        </w:rPr>
      </w:pPr>
      <w:r>
        <w:rPr>
          <w:sz w:val="28"/>
          <w:szCs w:val="28"/>
        </w:rPr>
        <w:t>Funktionsrätt Sveriges r</w:t>
      </w:r>
      <w:r w:rsidR="003C37F3" w:rsidRPr="00F45EC1">
        <w:rPr>
          <w:sz w:val="28"/>
          <w:szCs w:val="28"/>
        </w:rPr>
        <w:t>emissvar</w:t>
      </w:r>
      <w:r>
        <w:rPr>
          <w:sz w:val="28"/>
          <w:szCs w:val="28"/>
        </w:rPr>
        <w:t xml:space="preserve"> över</w:t>
      </w:r>
      <w:r w:rsidR="00AE1B7D" w:rsidRPr="00F45E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Ny organisation </w:t>
      </w:r>
    </w:p>
    <w:p w14:paraId="4A9C0447" w14:textId="4BDED5C6" w:rsidR="000E5C74" w:rsidRPr="00F45EC1" w:rsidRDefault="00A263E8" w:rsidP="00B11AAE">
      <w:pPr>
        <w:pStyle w:val="Rubrik1"/>
        <w:rPr>
          <w:sz w:val="28"/>
          <w:szCs w:val="28"/>
        </w:rPr>
      </w:pPr>
      <w:r>
        <w:rPr>
          <w:sz w:val="28"/>
          <w:szCs w:val="28"/>
        </w:rPr>
        <w:t>för förvaltning av EU-medel S</w:t>
      </w:r>
      <w:r w:rsidR="00974E0F" w:rsidRPr="00F45EC1">
        <w:rPr>
          <w:sz w:val="28"/>
          <w:szCs w:val="28"/>
        </w:rPr>
        <w:t>OU 202</w:t>
      </w:r>
      <w:r w:rsidR="00E2532D">
        <w:rPr>
          <w:sz w:val="28"/>
          <w:szCs w:val="28"/>
        </w:rPr>
        <w:t>4</w:t>
      </w:r>
      <w:r w:rsidR="00974E0F" w:rsidRPr="00F45EC1">
        <w:rPr>
          <w:sz w:val="28"/>
          <w:szCs w:val="28"/>
        </w:rPr>
        <w:t>:</w:t>
      </w:r>
      <w:r w:rsidR="00E2532D">
        <w:rPr>
          <w:sz w:val="28"/>
          <w:szCs w:val="28"/>
        </w:rPr>
        <w:t>22</w:t>
      </w:r>
    </w:p>
    <w:p w14:paraId="2CECCC7A" w14:textId="77777777" w:rsidR="00B21ACB" w:rsidRDefault="00B21ACB" w:rsidP="000A2BB1">
      <w:pPr>
        <w:pStyle w:val="Rubrik2"/>
        <w:rPr>
          <w:rFonts w:eastAsia="Calibri"/>
        </w:rPr>
      </w:pPr>
    </w:p>
    <w:p w14:paraId="30B12E60" w14:textId="5060CEDD" w:rsidR="000A2BB1" w:rsidRDefault="000A2BB1" w:rsidP="000A2BB1">
      <w:pPr>
        <w:pStyle w:val="Rubrik2"/>
        <w:rPr>
          <w:rFonts w:eastAsia="Calibri"/>
        </w:rPr>
      </w:pPr>
      <w:r>
        <w:rPr>
          <w:rFonts w:eastAsia="Calibri"/>
        </w:rPr>
        <w:t>Funktionsrätt Sverige</w:t>
      </w:r>
    </w:p>
    <w:p w14:paraId="184CE980" w14:textId="0A9A4EC3" w:rsidR="004C2104" w:rsidRDefault="004C2104" w:rsidP="004C2104">
      <w:pPr>
        <w:rPr>
          <w:lang w:eastAsia="sv-SE"/>
        </w:rPr>
      </w:pPr>
      <w:r w:rsidRPr="001B743F">
        <w:rPr>
          <w:lang w:eastAsia="sv-SE"/>
        </w:rPr>
        <w:t xml:space="preserve">Funktionsrätt Sverige är en samarbetsorganisation för </w:t>
      </w:r>
      <w:r w:rsidR="00AE1B7D">
        <w:rPr>
          <w:lang w:eastAsia="sv-SE"/>
        </w:rPr>
        <w:t>5</w:t>
      </w:r>
      <w:r w:rsidR="00623030">
        <w:rPr>
          <w:lang w:eastAsia="sv-SE"/>
        </w:rPr>
        <w:t>3</w:t>
      </w:r>
      <w:r w:rsidRPr="001B743F">
        <w:rPr>
          <w:lang w:eastAsia="sv-SE"/>
        </w:rPr>
        <w:t xml:space="preserve"> </w:t>
      </w:r>
      <w:r>
        <w:rPr>
          <w:lang w:eastAsia="sv-SE"/>
        </w:rPr>
        <w:t>f</w:t>
      </w:r>
      <w:r w:rsidRPr="001B743F">
        <w:rPr>
          <w:lang w:eastAsia="sv-SE"/>
        </w:rPr>
        <w:t xml:space="preserve">unktionsrättsförbund som tillsammans representerar </w:t>
      </w:r>
      <w:r w:rsidR="00AE1B7D">
        <w:rPr>
          <w:lang w:eastAsia="sv-SE"/>
        </w:rPr>
        <w:t>drygt</w:t>
      </w:r>
      <w:r w:rsidRPr="001B743F">
        <w:rPr>
          <w:lang w:eastAsia="sv-SE"/>
        </w:rPr>
        <w:t xml:space="preserve"> 400 000 medlemmar. Vårt arbete grundar sig på mänskliga rättigheter när vi driver medlemmarnas funktionsrätt </w:t>
      </w:r>
      <w:r w:rsidR="00A9566E">
        <w:rPr>
          <w:lang w:eastAsia="sv-SE"/>
        </w:rPr>
        <w:t>– rätten a</w:t>
      </w:r>
      <w:r w:rsidRPr="001B743F">
        <w:rPr>
          <w:lang w:eastAsia="sv-SE"/>
        </w:rPr>
        <w:t>tt fungera i samhällslivets alla delar på lika villkor. Vårt mål är ett samhälle för alla.</w:t>
      </w:r>
      <w:r w:rsidR="009F385B">
        <w:rPr>
          <w:lang w:eastAsia="sv-SE"/>
        </w:rPr>
        <w:t xml:space="preserve"> Funktionsrättskonventionen är utgångspunkten för vårt arbete.</w:t>
      </w:r>
    </w:p>
    <w:p w14:paraId="2AC5A810" w14:textId="77777777" w:rsidR="00C36990" w:rsidRDefault="00C36990" w:rsidP="004C2104">
      <w:pPr>
        <w:rPr>
          <w:lang w:eastAsia="sv-SE"/>
        </w:rPr>
      </w:pPr>
    </w:p>
    <w:p w14:paraId="089F78C1" w14:textId="24B82E5D" w:rsidR="00C36990" w:rsidRDefault="00C36990" w:rsidP="00C36990">
      <w:pPr>
        <w:pStyle w:val="Rubrik2"/>
        <w:rPr>
          <w:lang w:eastAsia="sv-SE"/>
        </w:rPr>
      </w:pPr>
      <w:r>
        <w:rPr>
          <w:lang w:eastAsia="sv-SE"/>
        </w:rPr>
        <w:t>Sammanfattning</w:t>
      </w:r>
    </w:p>
    <w:p w14:paraId="4A01CC66" w14:textId="046BB9BE" w:rsidR="00C53E8D" w:rsidRDefault="00A11702" w:rsidP="00940CD5">
      <w:pPr>
        <w:rPr>
          <w:lang w:eastAsia="sv-SE"/>
        </w:rPr>
      </w:pPr>
      <w:r>
        <w:t xml:space="preserve">Syftet med utredningen har varit att säkerställa en ändamålsenlig och effektiv hantering av sådana medel. </w:t>
      </w:r>
      <w:r w:rsidR="00622EE1">
        <w:rPr>
          <w:lang w:eastAsia="sv-SE"/>
        </w:rPr>
        <w:t xml:space="preserve">Utredningen föreslår </w:t>
      </w:r>
      <w:r w:rsidR="00940CD5">
        <w:rPr>
          <w:lang w:eastAsia="sv-SE"/>
        </w:rPr>
        <w:t xml:space="preserve">att </w:t>
      </w:r>
      <w:r w:rsidR="00C53E8D">
        <w:t xml:space="preserve">ansvaret för hanteringen av Europeiska regionala utvecklingsfonden, Europeiska socialfonden+ och Fonden för en rättvis omställning samlas hos Tillväxtverket. </w:t>
      </w:r>
      <w:r w:rsidR="007F0572">
        <w:t xml:space="preserve">Det finns också förslag om att </w:t>
      </w:r>
      <w:r w:rsidR="00C53E8D">
        <w:t>dagens regionala strukturfondspartnerskap ska ersättas med ett system med mer strategiskt orienterade partnerskap med fokus på utlysningsskedet</w:t>
      </w:r>
      <w:r w:rsidR="00B03ED9">
        <w:t xml:space="preserve">, samt att </w:t>
      </w:r>
      <w:r w:rsidR="00C53E8D">
        <w:t>även Fonden för en rättvis omställning sk</w:t>
      </w:r>
      <w:r w:rsidR="00AF612C">
        <w:t>ulle kunna</w:t>
      </w:r>
      <w:r w:rsidR="00C53E8D">
        <w:t xml:space="preserve"> omfattas av partnerskapen.</w:t>
      </w:r>
    </w:p>
    <w:p w14:paraId="44282C7C" w14:textId="77777777" w:rsidR="00C53E8D" w:rsidRDefault="00C53E8D" w:rsidP="004C2104">
      <w:pPr>
        <w:rPr>
          <w:lang w:eastAsia="sv-SE"/>
        </w:rPr>
      </w:pPr>
    </w:p>
    <w:p w14:paraId="06B04C02" w14:textId="45AF254F" w:rsidR="007D6E84" w:rsidRDefault="00A11702" w:rsidP="00026B7F">
      <w:pPr>
        <w:rPr>
          <w:lang w:eastAsia="sv-SE"/>
        </w:rPr>
      </w:pPr>
      <w:r>
        <w:rPr>
          <w:lang w:eastAsia="sv-SE"/>
        </w:rPr>
        <w:t>Funktionsrätt Sverige</w:t>
      </w:r>
      <w:r w:rsidR="00D705E1">
        <w:rPr>
          <w:lang w:eastAsia="sv-SE"/>
        </w:rPr>
        <w:t xml:space="preserve"> </w:t>
      </w:r>
      <w:r w:rsidR="000551E7">
        <w:rPr>
          <w:lang w:eastAsia="sv-SE"/>
        </w:rPr>
        <w:t xml:space="preserve">anser </w:t>
      </w:r>
      <w:r w:rsidR="00C36990">
        <w:rPr>
          <w:lang w:eastAsia="sv-SE"/>
        </w:rPr>
        <w:t xml:space="preserve">att </w:t>
      </w:r>
      <w:r w:rsidR="005A1AFD">
        <w:rPr>
          <w:lang w:eastAsia="sv-SE"/>
        </w:rPr>
        <w:t>effektiv hantering och</w:t>
      </w:r>
      <w:r w:rsidR="000551E7">
        <w:rPr>
          <w:lang w:eastAsia="sv-SE"/>
        </w:rPr>
        <w:t xml:space="preserve"> </w:t>
      </w:r>
      <w:r w:rsidR="00205EA2">
        <w:rPr>
          <w:lang w:eastAsia="sv-SE"/>
        </w:rPr>
        <w:t>organisation</w:t>
      </w:r>
      <w:r w:rsidR="005A1AFD">
        <w:rPr>
          <w:lang w:eastAsia="sv-SE"/>
        </w:rPr>
        <w:t xml:space="preserve"> av EU-medel</w:t>
      </w:r>
      <w:r w:rsidR="00C222C2">
        <w:rPr>
          <w:lang w:eastAsia="sv-SE"/>
        </w:rPr>
        <w:t xml:space="preserve"> </w:t>
      </w:r>
      <w:r w:rsidR="00B532C2">
        <w:rPr>
          <w:lang w:eastAsia="sv-SE"/>
        </w:rPr>
        <w:t>ska</w:t>
      </w:r>
      <w:r w:rsidR="00C222C2">
        <w:rPr>
          <w:lang w:eastAsia="sv-SE"/>
        </w:rPr>
        <w:t xml:space="preserve"> säkerställa</w:t>
      </w:r>
      <w:r w:rsidR="005A1AFD">
        <w:rPr>
          <w:lang w:eastAsia="sv-SE"/>
        </w:rPr>
        <w:t xml:space="preserve"> </w:t>
      </w:r>
      <w:r w:rsidR="00E8121A">
        <w:rPr>
          <w:lang w:eastAsia="sv-SE"/>
        </w:rPr>
        <w:t>samhällsnytta och uppföljning</w:t>
      </w:r>
      <w:r w:rsidR="00FB1DF6">
        <w:rPr>
          <w:lang w:eastAsia="sv-SE"/>
        </w:rPr>
        <w:t xml:space="preserve"> av nödvändiga villkor och horisontella principer.</w:t>
      </w:r>
      <w:r w:rsidR="00EF5F52">
        <w:rPr>
          <w:lang w:eastAsia="sv-SE"/>
        </w:rPr>
        <w:t xml:space="preserve"> Inflytande från organisationer med kunskap om </w:t>
      </w:r>
      <w:r w:rsidR="0099303F">
        <w:rPr>
          <w:lang w:eastAsia="sv-SE"/>
        </w:rPr>
        <w:t xml:space="preserve">CRPD, klyftor och lösningar behövs för att uppnå effektiv användning, samhällsnytta och </w:t>
      </w:r>
      <w:r w:rsidR="00171010">
        <w:rPr>
          <w:lang w:eastAsia="sv-SE"/>
        </w:rPr>
        <w:t xml:space="preserve">att regelverket följs. </w:t>
      </w:r>
      <w:r w:rsidR="00064855">
        <w:rPr>
          <w:lang w:eastAsia="sv-SE"/>
        </w:rPr>
        <w:t xml:space="preserve">Funktionsrätt Sverige </w:t>
      </w:r>
      <w:r w:rsidR="008B2976">
        <w:rPr>
          <w:lang w:eastAsia="sv-SE"/>
        </w:rPr>
        <w:t xml:space="preserve">saknar en konsekvensanalys </w:t>
      </w:r>
      <w:r w:rsidR="003075FA">
        <w:rPr>
          <w:lang w:eastAsia="sv-SE"/>
        </w:rPr>
        <w:t>som omfattar</w:t>
      </w:r>
      <w:r w:rsidR="00382AF1">
        <w:rPr>
          <w:lang w:eastAsia="sv-SE"/>
        </w:rPr>
        <w:t xml:space="preserve"> rutiner och</w:t>
      </w:r>
      <w:r w:rsidR="00F662B1">
        <w:rPr>
          <w:lang w:eastAsia="sv-SE"/>
        </w:rPr>
        <w:t xml:space="preserve"> kompetens</w:t>
      </w:r>
      <w:r w:rsidR="00382AF1">
        <w:rPr>
          <w:lang w:eastAsia="sv-SE"/>
        </w:rPr>
        <w:t xml:space="preserve"> </w:t>
      </w:r>
      <w:r w:rsidR="003075FA">
        <w:rPr>
          <w:lang w:eastAsia="sv-SE"/>
        </w:rPr>
        <w:t xml:space="preserve">för </w:t>
      </w:r>
      <w:r w:rsidR="00511B90">
        <w:rPr>
          <w:lang w:eastAsia="sv-SE"/>
        </w:rPr>
        <w:t xml:space="preserve">säkerställande av </w:t>
      </w:r>
      <w:r w:rsidR="005A4615">
        <w:rPr>
          <w:lang w:eastAsia="sv-SE"/>
        </w:rPr>
        <w:t xml:space="preserve">de villkor och principer i </w:t>
      </w:r>
      <w:r w:rsidR="00DA58D3">
        <w:rPr>
          <w:lang w:eastAsia="sv-SE"/>
        </w:rPr>
        <w:t>gemensamma bestämmelser vid en omstrukturering.</w:t>
      </w:r>
      <w:r w:rsidR="007D6E84">
        <w:rPr>
          <w:lang w:eastAsia="sv-SE"/>
        </w:rPr>
        <w:t xml:space="preserve"> Vår erfarenhet är att</w:t>
      </w:r>
      <w:r w:rsidR="00FD3B6C">
        <w:rPr>
          <w:lang w:eastAsia="sv-SE"/>
        </w:rPr>
        <w:t xml:space="preserve"> hittills har</w:t>
      </w:r>
      <w:r w:rsidR="007D6E84">
        <w:rPr>
          <w:lang w:eastAsia="sv-SE"/>
        </w:rPr>
        <w:t xml:space="preserve"> Socialfonden fungera</w:t>
      </w:r>
      <w:r w:rsidR="00FD3B6C">
        <w:rPr>
          <w:lang w:eastAsia="sv-SE"/>
        </w:rPr>
        <w:t>t</w:t>
      </w:r>
      <w:r w:rsidR="007D6E84">
        <w:rPr>
          <w:lang w:eastAsia="sv-SE"/>
        </w:rPr>
        <w:t xml:space="preserve"> bättre</w:t>
      </w:r>
      <w:r w:rsidR="00FD3B6C">
        <w:rPr>
          <w:lang w:eastAsia="sv-SE"/>
        </w:rPr>
        <w:t xml:space="preserve"> organisatoriskt</w:t>
      </w:r>
      <w:r w:rsidR="007D6E84">
        <w:rPr>
          <w:lang w:eastAsia="sv-SE"/>
        </w:rPr>
        <w:t xml:space="preserve"> än Tillväxtverket</w:t>
      </w:r>
      <w:r w:rsidR="0041016F">
        <w:rPr>
          <w:lang w:eastAsia="sv-SE"/>
        </w:rPr>
        <w:t>.</w:t>
      </w:r>
    </w:p>
    <w:p w14:paraId="5C4CCAC2" w14:textId="3F810290" w:rsidR="00640F6B" w:rsidRPr="00CA525B" w:rsidRDefault="005C76DA" w:rsidP="00CA525B">
      <w:pPr>
        <w:pStyle w:val="Rubrik2"/>
        <w:rPr>
          <w:rFonts w:eastAsia="Times New Roman"/>
        </w:rPr>
      </w:pPr>
      <w:r>
        <w:rPr>
          <w:rFonts w:eastAsia="Times New Roman"/>
        </w:rPr>
        <w:lastRenderedPageBreak/>
        <w:t>Funktionsrätt och EU:s s</w:t>
      </w:r>
      <w:r w:rsidR="0039143B">
        <w:rPr>
          <w:rFonts w:eastAsia="Times New Roman"/>
        </w:rPr>
        <w:t>am</w:t>
      </w:r>
      <w:r w:rsidR="007444AD">
        <w:rPr>
          <w:rFonts w:eastAsia="Times New Roman"/>
        </w:rPr>
        <w:t>manhållning</w:t>
      </w:r>
      <w:r w:rsidR="0039143B">
        <w:rPr>
          <w:rFonts w:eastAsia="Times New Roman"/>
        </w:rPr>
        <w:t>sfonder</w:t>
      </w:r>
    </w:p>
    <w:p w14:paraId="0B944810" w14:textId="2A581064" w:rsidR="00290AB9" w:rsidRDefault="007E32A6" w:rsidP="007E32A6">
      <w:r>
        <w:rPr>
          <w:lang w:eastAsia="sv-SE"/>
        </w:rPr>
        <w:t xml:space="preserve">EU har liksom Sverige och samtliga medlemsländer antagit konventionen om rättigheter för personer med funktionsnedsättning (CRPD). Den europeiska sammanhållningspolitiken och EU-medel </w:t>
      </w:r>
      <w:r w:rsidR="00910954">
        <w:rPr>
          <w:lang w:eastAsia="sv-SE"/>
        </w:rPr>
        <w:t>är</w:t>
      </w:r>
      <w:r>
        <w:rPr>
          <w:lang w:eastAsia="sv-SE"/>
        </w:rPr>
        <w:t xml:space="preserve"> viktig för att minska klyftor och för genomförande av CRPD, men medlemsländerna </w:t>
      </w:r>
      <w:r w:rsidR="00460C47">
        <w:rPr>
          <w:lang w:eastAsia="sv-SE"/>
        </w:rPr>
        <w:t xml:space="preserve">lyckas inte </w:t>
      </w:r>
      <w:r>
        <w:rPr>
          <w:lang w:eastAsia="sv-SE"/>
        </w:rPr>
        <w:t>använda resurserna och följa regelverket och f</w:t>
      </w:r>
      <w:r>
        <w:t>örordningen (EU) 2021/1060 om gemensamma bestämmelser för programperioden 2021–2027 (CPR)</w:t>
      </w:r>
      <w:r w:rsidR="00460C47">
        <w:t xml:space="preserve">. Europeiska revisionsrätten rapport speglar inte bristen på uppföljning som en orsak till nationella brister som vi och andra har lyft. </w:t>
      </w:r>
      <w:r w:rsidR="00A40EBD">
        <w:t xml:space="preserve">Hur EU-medel ska </w:t>
      </w:r>
      <w:r w:rsidR="008C06EC">
        <w:t>uppfylla krav på</w:t>
      </w:r>
      <w:r w:rsidR="00A40EBD">
        <w:t xml:space="preserve"> </w:t>
      </w:r>
      <w:r w:rsidR="008C06EC">
        <w:t>grundläggande rättigheter och CRPD tas upp i en</w:t>
      </w:r>
      <w:r w:rsidR="00865A84">
        <w:t xml:space="preserve"> färsk rapport från </w:t>
      </w:r>
      <w:r w:rsidR="00525069">
        <w:t>EU:s byrå för grundläggande rättigheter</w:t>
      </w:r>
      <w:r w:rsidR="00865A84">
        <w:rPr>
          <w:rStyle w:val="Slutnotsreferens"/>
        </w:rPr>
        <w:endnoteReference w:id="1"/>
      </w:r>
      <w:r w:rsidR="00865A84">
        <w:t>.</w:t>
      </w:r>
    </w:p>
    <w:p w14:paraId="061668F4" w14:textId="77777777" w:rsidR="000E1F09" w:rsidRDefault="000E1F09" w:rsidP="007E32A6"/>
    <w:p w14:paraId="37DE9C04" w14:textId="2467442F" w:rsidR="000E1F09" w:rsidRDefault="005A1427" w:rsidP="007E32A6">
      <w:r>
        <w:t>Tillgänglighet</w:t>
      </w:r>
      <w:r w:rsidR="00516EC7">
        <w:t xml:space="preserve"> ska enligt konventionen finnas på plats ”ex ante” för alla, och det</w:t>
      </w:r>
      <w:r w:rsidR="00E32620">
        <w:t>ta</w:t>
      </w:r>
      <w:r w:rsidR="00516EC7">
        <w:t xml:space="preserve"> finns </w:t>
      </w:r>
      <w:r w:rsidR="00E32620">
        <w:t xml:space="preserve">med i CPR. När EU fick rekommendationer från FN 2015 ställdes krav på </w:t>
      </w:r>
      <w:r w:rsidR="00D44AD6">
        <w:t xml:space="preserve">ett förslag om en europeisk tillgänglighetslag i linje med </w:t>
      </w:r>
      <w:r w:rsidR="00450F06">
        <w:t>konventionen</w:t>
      </w:r>
      <w:r w:rsidR="009823A4">
        <w:rPr>
          <w:rStyle w:val="Slutnotsreferens"/>
        </w:rPr>
        <w:endnoteReference w:id="2"/>
      </w:r>
      <w:r w:rsidR="00450F06">
        <w:t xml:space="preserve">. EU beslutade om lagen </w:t>
      </w:r>
      <w:r w:rsidR="009823A4">
        <w:t xml:space="preserve">(EAA) </w:t>
      </w:r>
      <w:r w:rsidR="00450F06">
        <w:t>2019</w:t>
      </w:r>
      <w:r w:rsidR="0014161A">
        <w:rPr>
          <w:rStyle w:val="Slutnotsreferens"/>
        </w:rPr>
        <w:endnoteReference w:id="3"/>
      </w:r>
      <w:r w:rsidR="00450F06">
        <w:t>, men k</w:t>
      </w:r>
      <w:r w:rsidR="009F0732">
        <w:t>onventionen innebär</w:t>
      </w:r>
      <w:r w:rsidR="00450F06">
        <w:t xml:space="preserve"> också </w:t>
      </w:r>
      <w:r w:rsidR="009F0732">
        <w:t xml:space="preserve">att EU </w:t>
      </w:r>
      <w:r w:rsidR="00996880">
        <w:t xml:space="preserve">kopplar </w:t>
      </w:r>
      <w:r w:rsidR="0041016F">
        <w:t>rättigheter</w:t>
      </w:r>
      <w:r w:rsidR="00195AEA">
        <w:t xml:space="preserve"> och</w:t>
      </w:r>
      <w:r w:rsidR="00F13DFD">
        <w:t xml:space="preserve"> </w:t>
      </w:r>
      <w:r w:rsidR="00195AEA">
        <w:t>tillgänglighet</w:t>
      </w:r>
      <w:r w:rsidR="00996880">
        <w:t xml:space="preserve"> till nya regelverk</w:t>
      </w:r>
      <w:r w:rsidR="0067715C">
        <w:t xml:space="preserve"> som en integrerad del</w:t>
      </w:r>
      <w:r w:rsidR="00CE5E53">
        <w:t xml:space="preserve">. Bara några få </w:t>
      </w:r>
      <w:r w:rsidR="0067715C">
        <w:t xml:space="preserve">exempel </w:t>
      </w:r>
      <w:r w:rsidR="00CE5E53">
        <w:t xml:space="preserve">är </w:t>
      </w:r>
      <w:r w:rsidR="00E25AC9">
        <w:t xml:space="preserve">upphandlingsdirektivet (obligatoriska </w:t>
      </w:r>
      <w:r w:rsidR="00195AEA">
        <w:t xml:space="preserve">krav), </w:t>
      </w:r>
      <w:r w:rsidR="0067715C">
        <w:t>medielagstiftning</w:t>
      </w:r>
      <w:r w:rsidR="00CE5E53">
        <w:t xml:space="preserve"> (AVMS)</w:t>
      </w:r>
      <w:r w:rsidR="00195AEA">
        <w:t xml:space="preserve">, </w:t>
      </w:r>
      <w:r w:rsidR="004C04BE">
        <w:t>AI-förordningen</w:t>
      </w:r>
      <w:r w:rsidR="00195AEA">
        <w:t xml:space="preserve"> och nyligen i </w:t>
      </w:r>
      <w:r w:rsidR="00011059">
        <w:t xml:space="preserve">direktivet </w:t>
      </w:r>
      <w:r w:rsidR="0019741B">
        <w:t>som rör</w:t>
      </w:r>
      <w:r w:rsidR="00CE5E53">
        <w:t xml:space="preserve"> </w:t>
      </w:r>
      <w:r w:rsidR="004D3BCE">
        <w:t xml:space="preserve">byggnaders </w:t>
      </w:r>
      <w:r w:rsidR="00CE5E53">
        <w:t>energiprestanda</w:t>
      </w:r>
      <w:r w:rsidR="002771FB">
        <w:rPr>
          <w:rStyle w:val="Slutnotsreferens"/>
        </w:rPr>
        <w:endnoteReference w:id="4"/>
      </w:r>
      <w:r w:rsidR="004D3BCE">
        <w:t xml:space="preserve">. EU har även beställt </w:t>
      </w:r>
      <w:r w:rsidR="00202F7A">
        <w:t xml:space="preserve">tillgänglighetsstandarder, och arbetet med harmoniserade standarder pågår med </w:t>
      </w:r>
      <w:r w:rsidR="00D14368">
        <w:t xml:space="preserve">koppling till </w:t>
      </w:r>
      <w:r w:rsidR="004C04BE">
        <w:t>det horisontella t</w:t>
      </w:r>
      <w:r w:rsidR="00A66A9A">
        <w:t>illgänglighetsdirektivet</w:t>
      </w:r>
      <w:r w:rsidR="009823A4">
        <w:t xml:space="preserve"> (EAA)</w:t>
      </w:r>
      <w:r w:rsidR="00A66A9A">
        <w:t xml:space="preserve"> som antogs 2019 </w:t>
      </w:r>
      <w:r w:rsidR="00D14368">
        <w:t>där</w:t>
      </w:r>
      <w:r w:rsidR="00A66A9A">
        <w:t xml:space="preserve"> krav i bilagor och artikel 24 som hänvisar till </w:t>
      </w:r>
      <w:r w:rsidR="00964B8C">
        <w:t>andra unionsakter (däribland strukturfonderna)</w:t>
      </w:r>
      <w:r w:rsidR="00D14368">
        <w:t xml:space="preserve">. </w:t>
      </w:r>
      <w:r w:rsidR="004B5717">
        <w:t xml:space="preserve">Överträdelseförfarande mot </w:t>
      </w:r>
      <w:r w:rsidR="00D14368">
        <w:t xml:space="preserve">Sverige har </w:t>
      </w:r>
      <w:r w:rsidR="004B5717">
        <w:t xml:space="preserve">inletts </w:t>
      </w:r>
      <w:r w:rsidR="00773083">
        <w:t xml:space="preserve">och </w:t>
      </w:r>
      <w:r w:rsidR="003716FF">
        <w:t xml:space="preserve">delar av </w:t>
      </w:r>
      <w:r w:rsidR="00D14368">
        <w:t xml:space="preserve">direktivet </w:t>
      </w:r>
      <w:r w:rsidR="003716FF">
        <w:t xml:space="preserve">inte införts </w:t>
      </w:r>
      <w:r w:rsidR="00D14368">
        <w:t>i svensk lag</w:t>
      </w:r>
      <w:r w:rsidR="003716FF">
        <w:t xml:space="preserve">. </w:t>
      </w:r>
      <w:r w:rsidR="00090505">
        <w:t>Sverige</w:t>
      </w:r>
      <w:r w:rsidR="00D14368">
        <w:t xml:space="preserve"> missar </w:t>
      </w:r>
      <w:r w:rsidR="003716FF">
        <w:t xml:space="preserve">nyttan </w:t>
      </w:r>
      <w:r w:rsidR="00D14368">
        <w:t xml:space="preserve">att använda EU-medel för genomförande av konventionen och </w:t>
      </w:r>
      <w:r w:rsidR="00142984">
        <w:t xml:space="preserve">att </w:t>
      </w:r>
      <w:r w:rsidR="00CD2D85">
        <w:t>underlätta för alla aktörer på EU:s gemensamma marknad.</w:t>
      </w:r>
    </w:p>
    <w:p w14:paraId="72EDA038" w14:textId="77777777" w:rsidR="00CD2D85" w:rsidRDefault="00CD2D85" w:rsidP="007E32A6"/>
    <w:p w14:paraId="3A6A0143" w14:textId="6963ADA6" w:rsidR="00090505" w:rsidRDefault="00853511" w:rsidP="007E32A6">
      <w:r>
        <w:t xml:space="preserve">Nyligen fick Sverige för andra gången skarp kritik från FN för brister i </w:t>
      </w:r>
      <w:r w:rsidR="004F0F3C">
        <w:t>genomförande av CRPD</w:t>
      </w:r>
      <w:r w:rsidR="003048FE">
        <w:t>. FN:s övervakningskommitté lyfte bristen på kunskap i sitt slutanförande och framhöll vikten av att involvera och stärka resurser till funktionsrättsrörelsen.</w:t>
      </w:r>
      <w:r w:rsidR="00474D42">
        <w:t xml:space="preserve"> </w:t>
      </w:r>
      <w:r w:rsidR="00090505">
        <w:rPr>
          <w:lang w:eastAsia="sv-SE"/>
        </w:rPr>
        <w:t>Det behövs kunskap, data och fördjupad analys om hur organisationen av EU-medel ska säkerställa samhällsnytta och aktiv involvering i beslut av med bred representation från ideella organisationer för att Sverige ska leva upp till gemensamma bestämmelser (CPR).</w:t>
      </w:r>
    </w:p>
    <w:p w14:paraId="79AE1784" w14:textId="43EE2FD8" w:rsidR="000962DB" w:rsidRDefault="000962DB" w:rsidP="00AA217C">
      <w:r>
        <w:br w:type="page"/>
      </w:r>
    </w:p>
    <w:p w14:paraId="44DABD3B" w14:textId="7A13FAF3" w:rsidR="00594CF2" w:rsidRDefault="001E13A1" w:rsidP="001E13A1">
      <w:pPr>
        <w:pStyle w:val="Rubrik2"/>
      </w:pPr>
      <w:r>
        <w:lastRenderedPageBreak/>
        <w:t>Synpunkter på vissa förslag</w:t>
      </w:r>
    </w:p>
    <w:p w14:paraId="3BF030CF" w14:textId="77777777" w:rsidR="00594CF2" w:rsidRDefault="00594CF2">
      <w:pPr>
        <w:tabs>
          <w:tab w:val="clear" w:pos="3686"/>
          <w:tab w:val="clear" w:pos="4536"/>
        </w:tabs>
      </w:pPr>
    </w:p>
    <w:p w14:paraId="2CF92884" w14:textId="044B7DFE" w:rsidR="00594CF2" w:rsidRDefault="002F667B" w:rsidP="0051436F">
      <w:pPr>
        <w:pStyle w:val="Rubrik3"/>
      </w:pPr>
      <w:r>
        <w:t xml:space="preserve">Tillväxtverket som </w:t>
      </w:r>
      <w:r w:rsidR="001B1059">
        <w:t xml:space="preserve">en samlande förvaltande myndighet för sammanhållningsfonderna och färre program för </w:t>
      </w:r>
      <w:r w:rsidR="000E07B2">
        <w:t>ERUF (7.6</w:t>
      </w:r>
      <w:r w:rsidR="0051436F">
        <w:t>)</w:t>
      </w:r>
      <w:r w:rsidR="000E07B2">
        <w:t xml:space="preserve"> </w:t>
      </w:r>
    </w:p>
    <w:p w14:paraId="39521570" w14:textId="1D0D3704" w:rsidR="00286A2E" w:rsidRDefault="00047EA3">
      <w:pPr>
        <w:tabs>
          <w:tab w:val="clear" w:pos="3686"/>
          <w:tab w:val="clear" w:pos="4536"/>
        </w:tabs>
      </w:pPr>
      <w:r>
        <w:t xml:space="preserve">Funktionsrätt Sverige saknar konsekvensanalys i förhållande till samhällsnytta och </w:t>
      </w:r>
      <w:r w:rsidR="00284C35">
        <w:t>uppföljning av resultat med förslagen.</w:t>
      </w:r>
    </w:p>
    <w:p w14:paraId="04E32922" w14:textId="77777777" w:rsidR="00286A2E" w:rsidRDefault="00286A2E">
      <w:pPr>
        <w:tabs>
          <w:tab w:val="clear" w:pos="3686"/>
          <w:tab w:val="clear" w:pos="4536"/>
        </w:tabs>
      </w:pPr>
    </w:p>
    <w:p w14:paraId="225D68ED" w14:textId="25F87D1E" w:rsidR="003759FA" w:rsidRDefault="00BB055F">
      <w:pPr>
        <w:tabs>
          <w:tab w:val="clear" w:pos="3686"/>
          <w:tab w:val="clear" w:pos="4536"/>
        </w:tabs>
      </w:pPr>
      <w:r>
        <w:t>FN</w:t>
      </w:r>
      <w:r w:rsidR="007B103B">
        <w:t xml:space="preserve"> upprepar och förstärker kritiken </w:t>
      </w:r>
      <w:r w:rsidR="00E807EB">
        <w:t xml:space="preserve">när det gäller </w:t>
      </w:r>
      <w:r>
        <w:t>genomförande av CRPD</w:t>
      </w:r>
      <w:r w:rsidR="00A966AD">
        <w:t>, när det gäller regionala</w:t>
      </w:r>
      <w:r w:rsidR="005979AA">
        <w:t xml:space="preserve"> brister och skillnader över landet</w:t>
      </w:r>
      <w:r w:rsidR="00E807EB">
        <w:t>, i de senaste rekommendationerna från april 2024</w:t>
      </w:r>
      <w:r w:rsidR="005979AA">
        <w:t>.</w:t>
      </w:r>
      <w:r>
        <w:t xml:space="preserve"> </w:t>
      </w:r>
      <w:r w:rsidR="001138BD">
        <w:t xml:space="preserve">Kunskap, strategier, samordning och </w:t>
      </w:r>
      <w:r w:rsidR="00722EA2">
        <w:t>uppföljning</w:t>
      </w:r>
      <w:r w:rsidR="00FC7CC0">
        <w:t xml:space="preserve"> </w:t>
      </w:r>
      <w:r w:rsidR="001138BD">
        <w:t>brister</w:t>
      </w:r>
      <w:r w:rsidR="008F3BFD">
        <w:t xml:space="preserve">. Verktyg finns om </w:t>
      </w:r>
      <w:r w:rsidR="00620599">
        <w:t>nödvändiga villkor och</w:t>
      </w:r>
      <w:r w:rsidR="001714DC">
        <w:t xml:space="preserve"> krav på</w:t>
      </w:r>
      <w:r w:rsidR="00620599">
        <w:t xml:space="preserve"> tillgänglighet</w:t>
      </w:r>
      <w:r w:rsidR="001714DC">
        <w:t xml:space="preserve"> i </w:t>
      </w:r>
      <w:r w:rsidR="005F1F1A">
        <w:t xml:space="preserve">förordning </w:t>
      </w:r>
      <w:r w:rsidR="001714DC">
        <w:t xml:space="preserve">men har inte </w:t>
      </w:r>
      <w:r w:rsidR="005F1F1A">
        <w:t>använts med</w:t>
      </w:r>
      <w:r w:rsidR="00722EA2">
        <w:t xml:space="preserve"> koppling till </w:t>
      </w:r>
      <w:r w:rsidR="00A966AD">
        <w:t xml:space="preserve">långsiktiga planer </w:t>
      </w:r>
      <w:r w:rsidR="002E410A">
        <w:t xml:space="preserve">och strategier </w:t>
      </w:r>
      <w:r w:rsidR="00A966AD">
        <w:t xml:space="preserve">för </w:t>
      </w:r>
      <w:r w:rsidR="002E410A">
        <w:t xml:space="preserve">inkludering och ökad </w:t>
      </w:r>
      <w:r w:rsidR="00A966AD">
        <w:t xml:space="preserve">tillgänglighet </w:t>
      </w:r>
      <w:r w:rsidR="002E410A">
        <w:t>i linje med EU:s</w:t>
      </w:r>
      <w:r w:rsidR="00B77B06">
        <w:t xml:space="preserve"> och medlemsländernas </w:t>
      </w:r>
      <w:r w:rsidR="00A6135A">
        <w:t>åtagande</w:t>
      </w:r>
      <w:r w:rsidR="00B77B06">
        <w:t>n</w:t>
      </w:r>
      <w:r w:rsidR="00A6135A">
        <w:t xml:space="preserve"> i</w:t>
      </w:r>
      <w:r w:rsidR="00074EC2">
        <w:t xml:space="preserve"> </w:t>
      </w:r>
      <w:r w:rsidR="00A6135A">
        <w:t>Funktionsrättskonventionen (CRPD)</w:t>
      </w:r>
      <w:r w:rsidR="00074EC2">
        <w:t>.</w:t>
      </w:r>
    </w:p>
    <w:p w14:paraId="2FEE4668" w14:textId="77777777" w:rsidR="00286A2E" w:rsidRDefault="00286A2E">
      <w:pPr>
        <w:tabs>
          <w:tab w:val="clear" w:pos="3686"/>
          <w:tab w:val="clear" w:pos="4536"/>
        </w:tabs>
      </w:pPr>
    </w:p>
    <w:p w14:paraId="14F949F6" w14:textId="6725218D" w:rsidR="00286A2E" w:rsidRDefault="00286A2E" w:rsidP="00286A2E">
      <w:pPr>
        <w:tabs>
          <w:tab w:val="clear" w:pos="3686"/>
          <w:tab w:val="clear" w:pos="4536"/>
        </w:tabs>
        <w:rPr>
          <w:lang w:eastAsia="sv-SE"/>
        </w:rPr>
      </w:pPr>
      <w:r>
        <w:rPr>
          <w:lang w:eastAsia="sv-SE"/>
        </w:rPr>
        <w:t>Bristerna som rör organisation för att säkerställa CRPD och tillgänglighet är allvarliga inom ramen för Regionalfonden, vilket vi uppmärksammade regeringen på 2023 och visade samtidigt på konkreta satsningar i andra länder</w:t>
      </w:r>
      <w:r>
        <w:rPr>
          <w:rStyle w:val="Slutnotsreferens"/>
          <w:lang w:eastAsia="sv-SE"/>
        </w:rPr>
        <w:endnoteReference w:id="5"/>
      </w:r>
      <w:r>
        <w:rPr>
          <w:lang w:eastAsia="sv-SE"/>
        </w:rPr>
        <w:t xml:space="preserve">. </w:t>
      </w:r>
      <w:r>
        <w:t>Tillväxtverket har hittills inte lyckats att organisera stöd och uppföljning av nödvändiga villkor och kriterier om tillgänglighet.</w:t>
      </w:r>
    </w:p>
    <w:p w14:paraId="026C3CD5" w14:textId="77777777" w:rsidR="000F3995" w:rsidRDefault="000F3995">
      <w:pPr>
        <w:tabs>
          <w:tab w:val="clear" w:pos="3686"/>
          <w:tab w:val="clear" w:pos="4536"/>
        </w:tabs>
      </w:pPr>
    </w:p>
    <w:p w14:paraId="212C4B76" w14:textId="2F1EB398" w:rsidR="00594CF2" w:rsidRDefault="001C490A" w:rsidP="00990D38">
      <w:pPr>
        <w:pStyle w:val="Rubrik3"/>
      </w:pPr>
      <w:r>
        <w:t xml:space="preserve">Förändring av </w:t>
      </w:r>
      <w:r w:rsidR="00C471A6">
        <w:t xml:space="preserve">regionala </w:t>
      </w:r>
      <w:r w:rsidR="00B90927">
        <w:t>strukturfondspartnerskap alternativt strategisk</w:t>
      </w:r>
      <w:r w:rsidR="00ED0790">
        <w:t>t partnerskap (7.</w:t>
      </w:r>
      <w:r w:rsidR="00990D38">
        <w:t>8)</w:t>
      </w:r>
    </w:p>
    <w:p w14:paraId="6AFCABED" w14:textId="7107E50A" w:rsidR="002F38F6" w:rsidRDefault="00F35FC3" w:rsidP="00090505">
      <w:r>
        <w:t xml:space="preserve">Funktionsrätt Sverige anser </w:t>
      </w:r>
      <w:r w:rsidR="00BF793E">
        <w:t xml:space="preserve">förändring från partnerskap till </w:t>
      </w:r>
      <w:r w:rsidR="00ED4F54">
        <w:t xml:space="preserve">referensgrupp </w:t>
      </w:r>
      <w:r w:rsidR="002F38F6">
        <w:t>antyder ett försvagat inflytande som inte är i linje med Funktionsrättskonventionen, artikel 4.3 och 33.3</w:t>
      </w:r>
      <w:r w:rsidR="00B71001">
        <w:rPr>
          <w:rStyle w:val="Slutnotsreferens"/>
        </w:rPr>
        <w:endnoteReference w:id="6"/>
      </w:r>
      <w:r w:rsidR="002F38F6">
        <w:t xml:space="preserve"> som handlar om effektiv och meningsfull aktiv involvering i </w:t>
      </w:r>
      <w:r w:rsidR="002F38F6" w:rsidRPr="002F38F6">
        <w:rPr>
          <w:b/>
          <w:bCs/>
        </w:rPr>
        <w:t>beslut och övervakning</w:t>
      </w:r>
      <w:r w:rsidR="002F38F6">
        <w:t>.</w:t>
      </w:r>
      <w:r w:rsidR="00DF0467">
        <w:t xml:space="preserve"> Användning av EU-fonder i linje med konventionen är </w:t>
      </w:r>
      <w:r w:rsidR="00262B52">
        <w:t>en viktig del av lagstiftning och strategier. Inom</w:t>
      </w:r>
      <w:r w:rsidR="00DF0467">
        <w:t xml:space="preserve"> EU</w:t>
      </w:r>
      <w:r w:rsidR="00262B52">
        <w:t xml:space="preserve"> </w:t>
      </w:r>
      <w:r w:rsidR="00DF0467">
        <w:t>är funktionsrättsrörelsen</w:t>
      </w:r>
      <w:r w:rsidR="00262B52">
        <w:t xml:space="preserve"> genom European Disability Forum</w:t>
      </w:r>
      <w:r w:rsidR="006E3CD3">
        <w:t xml:space="preserve">, en part i övervakning av konventionen tillsammans med Europaparlamentet, </w:t>
      </w:r>
      <w:r w:rsidR="00DF0467">
        <w:t>EU:</w:t>
      </w:r>
      <w:r w:rsidR="006E3CD3">
        <w:t xml:space="preserve">s ombudsman och EU:s byrå för grundläggande rättigheter (FRA). </w:t>
      </w:r>
      <w:r w:rsidR="00AA031E">
        <w:t>I FRA:s rapport lyfts funktionsrättsorganisationer och deras roll för genomförande av ”ex-ante krav</w:t>
      </w:r>
      <w:r w:rsidR="002301B1">
        <w:t>” på tillgänglighet.</w:t>
      </w:r>
      <w:r w:rsidR="00DF0467">
        <w:t xml:space="preserve"> </w:t>
      </w:r>
    </w:p>
    <w:p w14:paraId="0563CA89" w14:textId="77777777" w:rsidR="00F35FC3" w:rsidRDefault="00F35FC3" w:rsidP="00090505"/>
    <w:p w14:paraId="09D4DC51" w14:textId="77777777" w:rsidR="002F38F6" w:rsidRDefault="002F38F6" w:rsidP="002F38F6">
      <w:pPr>
        <w:rPr>
          <w:lang w:eastAsia="sv-SE"/>
        </w:rPr>
      </w:pPr>
      <w:r>
        <w:t xml:space="preserve">Vi har haft goda erfarenheter från äldre programperioder, inom ramen för Europeiska Socialfonden, med Processtöd Tillgänglighet där myndigheter och funktionsrättsrörelsen samarbetade. </w:t>
      </w:r>
      <w:r w:rsidRPr="002565D5">
        <w:rPr>
          <w:lang w:eastAsia="sv-SE"/>
        </w:rPr>
        <w:t xml:space="preserve">Cirka 1000 projekt </w:t>
      </w:r>
      <w:r>
        <w:rPr>
          <w:lang w:eastAsia="sv-SE"/>
        </w:rPr>
        <w:t>fick</w:t>
      </w:r>
      <w:r w:rsidRPr="002565D5">
        <w:rPr>
          <w:lang w:eastAsia="sv-SE"/>
        </w:rPr>
        <w:t xml:space="preserve"> utbildning</w:t>
      </w:r>
      <w:r>
        <w:rPr>
          <w:lang w:eastAsia="sv-SE"/>
        </w:rPr>
        <w:t>. Det har gått över 10 år sedan dess. I Sverige har vi stora utmaningar med klyftor på arbetsmarknaden, vilket vi lyft i samband med bidrag till nationella reformprogrammet</w:t>
      </w:r>
      <w:r>
        <w:rPr>
          <w:rStyle w:val="Slutnotsreferens"/>
          <w:lang w:eastAsia="sv-SE"/>
        </w:rPr>
        <w:endnoteReference w:id="7"/>
      </w:r>
      <w:r>
        <w:rPr>
          <w:lang w:eastAsia="sv-SE"/>
        </w:rPr>
        <w:t xml:space="preserve">. </w:t>
      </w:r>
    </w:p>
    <w:p w14:paraId="10F724CD" w14:textId="77777777" w:rsidR="00090505" w:rsidRDefault="00090505" w:rsidP="00090505">
      <w:pPr>
        <w:rPr>
          <w:lang w:eastAsia="sv-SE"/>
        </w:rPr>
      </w:pPr>
    </w:p>
    <w:p w14:paraId="2EC69CC2" w14:textId="4BC9C833" w:rsidR="00594CF2" w:rsidRDefault="00962EB4" w:rsidP="009535D2">
      <w:pPr>
        <w:pStyle w:val="Rubrik3"/>
      </w:pPr>
      <w:proofErr w:type="spellStart"/>
      <w:r>
        <w:t>ESV:s</w:t>
      </w:r>
      <w:proofErr w:type="spellEnd"/>
      <w:r>
        <w:t xml:space="preserve"> främjande roll (8.4)</w:t>
      </w:r>
    </w:p>
    <w:p w14:paraId="2E82105A" w14:textId="48EEE733" w:rsidR="00177F9C" w:rsidRDefault="008D60D7">
      <w:pPr>
        <w:tabs>
          <w:tab w:val="clear" w:pos="3686"/>
          <w:tab w:val="clear" w:pos="4536"/>
        </w:tabs>
      </w:pPr>
      <w:r>
        <w:lastRenderedPageBreak/>
        <w:t xml:space="preserve">Funktionsrätt Sverige konstaterar att </w:t>
      </w:r>
      <w:r w:rsidR="00446058">
        <w:t xml:space="preserve">betänkandet lyfter främjande insatser till myndigheter från ESV. Men </w:t>
      </w:r>
      <w:r w:rsidR="002E0888">
        <w:t xml:space="preserve">det </w:t>
      </w:r>
      <w:r w:rsidR="00DF0467">
        <w:t xml:space="preserve">finns inga förslag om behovet av </w:t>
      </w:r>
      <w:r w:rsidR="002E0888">
        <w:t xml:space="preserve">främjande </w:t>
      </w:r>
      <w:r w:rsidR="00DF241C">
        <w:t xml:space="preserve">av </w:t>
      </w:r>
      <w:r w:rsidR="002E0888">
        <w:t xml:space="preserve">samhällsnytta. Det behövs </w:t>
      </w:r>
      <w:r w:rsidR="00DF0467">
        <w:t xml:space="preserve">organisation och </w:t>
      </w:r>
      <w:r w:rsidR="002E0888">
        <w:t xml:space="preserve">resurser till främjande av </w:t>
      </w:r>
      <w:r w:rsidR="00DF241C">
        <w:t xml:space="preserve">värderingar </w:t>
      </w:r>
      <w:r w:rsidR="007A7BE6">
        <w:t xml:space="preserve">och </w:t>
      </w:r>
      <w:r w:rsidR="00CA3044">
        <w:t xml:space="preserve">hur EU-medel </w:t>
      </w:r>
      <w:r w:rsidR="00074C7B">
        <w:t xml:space="preserve">effektivt ska leda till resultat i linje med </w:t>
      </w:r>
      <w:r w:rsidR="00DF241C">
        <w:t xml:space="preserve">EU:s och </w:t>
      </w:r>
      <w:r w:rsidR="00074C7B">
        <w:t>Sveriges åtaganden</w:t>
      </w:r>
      <w:r w:rsidR="00A94113">
        <w:t>.</w:t>
      </w:r>
    </w:p>
    <w:p w14:paraId="53E9E406" w14:textId="77777777" w:rsidR="00177F9C" w:rsidRDefault="00177F9C">
      <w:pPr>
        <w:tabs>
          <w:tab w:val="clear" w:pos="3686"/>
          <w:tab w:val="clear" w:pos="4536"/>
        </w:tabs>
      </w:pPr>
    </w:p>
    <w:p w14:paraId="3DCB2982" w14:textId="14789253" w:rsidR="00A16C4D" w:rsidRDefault="00A16C4D">
      <w:pPr>
        <w:tabs>
          <w:tab w:val="clear" w:pos="3686"/>
          <w:tab w:val="clear" w:pos="4536"/>
        </w:tabs>
      </w:pPr>
      <w:r>
        <w:t>Vänliga hälsningar</w:t>
      </w:r>
    </w:p>
    <w:p w14:paraId="3EDFB549" w14:textId="77777777" w:rsidR="008A7455" w:rsidRDefault="008A7455">
      <w:pPr>
        <w:tabs>
          <w:tab w:val="clear" w:pos="3686"/>
          <w:tab w:val="clear" w:pos="4536"/>
        </w:tabs>
      </w:pPr>
    </w:p>
    <w:p w14:paraId="0CA212DB" w14:textId="514B2445" w:rsidR="008A7455" w:rsidRDefault="008A7455">
      <w:pPr>
        <w:tabs>
          <w:tab w:val="clear" w:pos="3686"/>
          <w:tab w:val="clear" w:pos="4536"/>
        </w:tabs>
      </w:pPr>
    </w:p>
    <w:p w14:paraId="24FFE24F" w14:textId="2744CE0D" w:rsidR="0014161A" w:rsidRDefault="0014161A">
      <w:pPr>
        <w:tabs>
          <w:tab w:val="clear" w:pos="3686"/>
          <w:tab w:val="clear" w:pos="4536"/>
        </w:tabs>
      </w:pPr>
    </w:p>
    <w:p w14:paraId="0CBE895C" w14:textId="5AB592E4" w:rsidR="00A16C4D" w:rsidRDefault="00A16C4D">
      <w:pPr>
        <w:tabs>
          <w:tab w:val="clear" w:pos="3686"/>
          <w:tab w:val="clear" w:pos="4536"/>
        </w:tabs>
      </w:pPr>
      <w:r>
        <w:t>Nicklas Mårtensson</w:t>
      </w:r>
    </w:p>
    <w:p w14:paraId="2B1DD16C" w14:textId="172D24C8" w:rsidR="00A16C4D" w:rsidRDefault="00A16C4D">
      <w:pPr>
        <w:tabs>
          <w:tab w:val="clear" w:pos="3686"/>
          <w:tab w:val="clear" w:pos="4536"/>
        </w:tabs>
      </w:pPr>
      <w:r>
        <w:t>Ordförande</w:t>
      </w:r>
    </w:p>
    <w:p w14:paraId="5C3CE3F3" w14:textId="77777777" w:rsidR="00A16C4D" w:rsidRDefault="00A16C4D">
      <w:pPr>
        <w:tabs>
          <w:tab w:val="clear" w:pos="3686"/>
          <w:tab w:val="clear" w:pos="4536"/>
        </w:tabs>
      </w:pPr>
    </w:p>
    <w:sectPr w:rsidR="00A16C4D" w:rsidSect="004E6ECD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2268" w:bottom="1418" w:left="2268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5281D" w14:textId="77777777" w:rsidR="008204A6" w:rsidRDefault="008204A6" w:rsidP="000A2BB1">
      <w:r>
        <w:separator/>
      </w:r>
    </w:p>
  </w:endnote>
  <w:endnote w:type="continuationSeparator" w:id="0">
    <w:p w14:paraId="74BCEFDF" w14:textId="77777777" w:rsidR="008204A6" w:rsidRDefault="008204A6" w:rsidP="000A2BB1">
      <w:r>
        <w:continuationSeparator/>
      </w:r>
    </w:p>
  </w:endnote>
  <w:endnote w:id="1">
    <w:p w14:paraId="072F4ABF" w14:textId="446E3DDB" w:rsidR="002A43F7" w:rsidRPr="00865A84" w:rsidRDefault="00865A84">
      <w:pPr>
        <w:pStyle w:val="Slutnotstext"/>
      </w:pPr>
      <w:r>
        <w:rPr>
          <w:rStyle w:val="Slutnotsreferens"/>
        </w:rPr>
        <w:endnoteRef/>
      </w:r>
      <w:r w:rsidRPr="00865A84">
        <w:t xml:space="preserve"> </w:t>
      </w:r>
      <w:r w:rsidR="006E34AF">
        <w:t>EU-</w:t>
      </w:r>
      <w:proofErr w:type="spellStart"/>
      <w:r w:rsidR="006E34AF">
        <w:t>funds</w:t>
      </w:r>
      <w:proofErr w:type="spellEnd"/>
      <w:r w:rsidR="006E34AF">
        <w:t xml:space="preserve">: </w:t>
      </w:r>
      <w:proofErr w:type="spellStart"/>
      <w:r w:rsidR="002A43F7">
        <w:t>Ensuring</w:t>
      </w:r>
      <w:proofErr w:type="spellEnd"/>
      <w:r w:rsidR="002A43F7">
        <w:t xml:space="preserve"> </w:t>
      </w:r>
      <w:proofErr w:type="spellStart"/>
      <w:r w:rsidR="002A43F7">
        <w:t>Compliance</w:t>
      </w:r>
      <w:proofErr w:type="spellEnd"/>
      <w:r w:rsidR="002A43F7">
        <w:t xml:space="preserve"> </w:t>
      </w:r>
      <w:proofErr w:type="spellStart"/>
      <w:r w:rsidR="002A43F7">
        <w:t>with</w:t>
      </w:r>
      <w:proofErr w:type="spellEnd"/>
      <w:r w:rsidR="002A43F7">
        <w:t xml:space="preserve"> </w:t>
      </w:r>
      <w:r w:rsidR="006E34AF">
        <w:t xml:space="preserve">fundamental </w:t>
      </w:r>
      <w:proofErr w:type="spellStart"/>
      <w:r w:rsidR="006E34AF">
        <w:t>rights</w:t>
      </w:r>
      <w:proofErr w:type="spellEnd"/>
      <w:r w:rsidR="006E34AF">
        <w:t xml:space="preserve">, </w:t>
      </w:r>
      <w:proofErr w:type="spellStart"/>
      <w:r w:rsidR="006E34AF">
        <w:t>March</w:t>
      </w:r>
      <w:proofErr w:type="spellEnd"/>
      <w:r w:rsidR="006E34AF">
        <w:t xml:space="preserve"> 2024,, </w:t>
      </w:r>
      <w:r w:rsidRPr="00865A84">
        <w:t>Fundamental Rights Agency, fördjupad rapport om EU</w:t>
      </w:r>
      <w:r>
        <w:t xml:space="preserve">:s fonder efter införande av Common Provisions </w:t>
      </w:r>
      <w:proofErr w:type="spellStart"/>
      <w:r>
        <w:t>Regulation</w:t>
      </w:r>
      <w:proofErr w:type="spellEnd"/>
      <w:r>
        <w:t xml:space="preserve">, </w:t>
      </w:r>
      <w:hyperlink r:id="rId1" w:anchor="read-online" w:history="1">
        <w:r w:rsidR="006E34AF" w:rsidRPr="00EC60BC">
          <w:rPr>
            <w:rStyle w:val="Hyperlnk"/>
          </w:rPr>
          <w:t>https://fra.europa.eu/en/publication/2023/eu-funds#read-online</w:t>
        </w:r>
      </w:hyperlink>
      <w:r w:rsidR="006E34AF">
        <w:t xml:space="preserve"> </w:t>
      </w:r>
    </w:p>
  </w:endnote>
  <w:endnote w:id="2">
    <w:p w14:paraId="09187344" w14:textId="37A216A3" w:rsidR="009823A4" w:rsidRDefault="009823A4">
      <w:pPr>
        <w:pStyle w:val="Slutnotstext"/>
      </w:pPr>
      <w:r>
        <w:rPr>
          <w:rStyle w:val="Slutnotsreferens"/>
        </w:rPr>
        <w:endnoteRef/>
      </w:r>
      <w:r>
        <w:t xml:space="preserve"> Rekommendationen och</w:t>
      </w:r>
      <w:r w:rsidR="00B40CD5">
        <w:t xml:space="preserve"> EAA hänvisar specifikt till allmän kommentar 2 om tillgänglighet</w:t>
      </w:r>
      <w:r w:rsidR="00621705">
        <w:t xml:space="preserve"> översatt till svenska av MFD </w:t>
      </w:r>
      <w:hyperlink r:id="rId2" w:history="1">
        <w:r w:rsidR="00621705" w:rsidRPr="00EC60BC">
          <w:rPr>
            <w:rStyle w:val="Hyperlnk"/>
          </w:rPr>
          <w:t>https://www.mfd.se/material/publikationer/fns-konvention-och-allmanna-kommentar/allman-kommentar-nr-2-om-artikel-9-tillganglighet/</w:t>
        </w:r>
      </w:hyperlink>
      <w:r w:rsidR="00621705">
        <w:t xml:space="preserve"> </w:t>
      </w:r>
    </w:p>
  </w:endnote>
  <w:endnote w:id="3">
    <w:p w14:paraId="28AF783F" w14:textId="11439E5D" w:rsidR="0014161A" w:rsidRPr="0014161A" w:rsidRDefault="0014161A">
      <w:pPr>
        <w:pStyle w:val="Slutnotstext"/>
      </w:pPr>
      <w:r>
        <w:rPr>
          <w:rStyle w:val="Slutnotsreferens"/>
        </w:rPr>
        <w:endnoteRef/>
      </w:r>
      <w:r w:rsidRPr="0014161A">
        <w:t xml:space="preserve"> European </w:t>
      </w:r>
      <w:proofErr w:type="spellStart"/>
      <w:r w:rsidRPr="0014161A">
        <w:t>Accessibility</w:t>
      </w:r>
      <w:proofErr w:type="spellEnd"/>
      <w:r w:rsidRPr="0014161A">
        <w:t xml:space="preserve"> </w:t>
      </w:r>
      <w:proofErr w:type="spellStart"/>
      <w:r w:rsidRPr="0014161A">
        <w:t>Act</w:t>
      </w:r>
      <w:proofErr w:type="spellEnd"/>
      <w:r w:rsidRPr="0014161A">
        <w:t>, ofta förkor</w:t>
      </w:r>
      <w:r>
        <w:t xml:space="preserve">tad EAA </w:t>
      </w:r>
      <w:hyperlink r:id="rId3" w:history="1">
        <w:r w:rsidRPr="00EC60BC">
          <w:rPr>
            <w:rStyle w:val="Hyperlnk"/>
          </w:rPr>
          <w:t>https://ec.europa.eu/social/main.jsp?catId=1202</w:t>
        </w:r>
      </w:hyperlink>
      <w:r>
        <w:t xml:space="preserve"> </w:t>
      </w:r>
    </w:p>
  </w:endnote>
  <w:endnote w:id="4">
    <w:p w14:paraId="2E5437DF" w14:textId="37337760" w:rsidR="002771FB" w:rsidRDefault="002771FB">
      <w:pPr>
        <w:pStyle w:val="Slutnotstext"/>
      </w:pPr>
      <w:r>
        <w:rPr>
          <w:rStyle w:val="Slutnotsreferens"/>
        </w:rPr>
        <w:endnoteRef/>
      </w:r>
      <w:r>
        <w:t xml:space="preserve"> </w:t>
      </w:r>
      <w:r w:rsidR="00B3701D">
        <w:t>Artike</w:t>
      </w:r>
      <w:r w:rsidR="001610D3">
        <w:t xml:space="preserve">l om tillgänglighet till byggnader EU-direktiv om </w:t>
      </w:r>
      <w:r w:rsidR="00BD35E1">
        <w:t xml:space="preserve">energiprestanda 2024 </w:t>
      </w:r>
      <w:hyperlink r:id="rId4" w:history="1">
        <w:r w:rsidR="00BD35E1" w:rsidRPr="00B61923">
          <w:rPr>
            <w:rStyle w:val="Hyperlnk"/>
          </w:rPr>
          <w:t>https://www.edf-feph.org/energy-performance-of-buildings-directive-first-eu-legislation-to-address-accessibility-of-buildings/</w:t>
        </w:r>
      </w:hyperlink>
      <w:r>
        <w:t xml:space="preserve"> </w:t>
      </w:r>
    </w:p>
  </w:endnote>
  <w:endnote w:id="5">
    <w:p w14:paraId="3A972308" w14:textId="77777777" w:rsidR="00286A2E" w:rsidRDefault="00286A2E" w:rsidP="00286A2E">
      <w:pPr>
        <w:pStyle w:val="Slutnotstext"/>
      </w:pPr>
      <w:r>
        <w:rPr>
          <w:rStyle w:val="Slutnotsreferens"/>
        </w:rPr>
        <w:endnoteRef/>
      </w:r>
      <w:r>
        <w:t xml:space="preserve"> Skrivelse till regeringen om Regionalfonden 2023 </w:t>
      </w:r>
      <w:hyperlink r:id="rId5" w:history="1">
        <w:r w:rsidRPr="00B61923">
          <w:rPr>
            <w:rStyle w:val="Hyperlnk"/>
          </w:rPr>
          <w:t>https://funktionsratt.se/wp-content/uploads/2023/01/Skrivelse-Regionalfonden-funktionsratt-tillganglighet-januari-2023.pdf</w:t>
        </w:r>
      </w:hyperlink>
      <w:r>
        <w:t xml:space="preserve"> </w:t>
      </w:r>
    </w:p>
  </w:endnote>
  <w:endnote w:id="6">
    <w:p w14:paraId="65B1B005" w14:textId="533982BC" w:rsidR="00B71001" w:rsidRDefault="00B71001">
      <w:pPr>
        <w:pStyle w:val="Slutnotstext"/>
      </w:pPr>
      <w:r>
        <w:rPr>
          <w:rStyle w:val="Slutnotsreferens"/>
        </w:rPr>
        <w:endnoteRef/>
      </w:r>
      <w:r>
        <w:t xml:space="preserve"> Rätt till aktiv involvering i beslut och övervakning, sammanfattning och </w:t>
      </w:r>
      <w:r w:rsidR="00EB1822">
        <w:t xml:space="preserve">länk till allmän kommentar 7 om artikel 4.3 och 33.3 i Funktionsrättskonventionen </w:t>
      </w:r>
      <w:hyperlink r:id="rId6" w:history="1">
        <w:r w:rsidR="00EB1822" w:rsidRPr="00EC60BC">
          <w:rPr>
            <w:rStyle w:val="Hyperlnk"/>
          </w:rPr>
          <w:t>https://funktionsratt.se/funktionsratt-ratten-att-fungera-i-samhallet-pa-lika-villkor/manskliga-rattigheter/funktionsrattskonventionen/aktivinvolvering/</w:t>
        </w:r>
      </w:hyperlink>
      <w:r w:rsidR="00EB1822">
        <w:t xml:space="preserve"> </w:t>
      </w:r>
    </w:p>
  </w:endnote>
  <w:endnote w:id="7">
    <w:p w14:paraId="27EFEDC9" w14:textId="77777777" w:rsidR="002F38F6" w:rsidRDefault="002F38F6" w:rsidP="002F38F6">
      <w:pPr>
        <w:pStyle w:val="Slutnotstext"/>
      </w:pPr>
      <w:r>
        <w:rPr>
          <w:rStyle w:val="Slutnotsreferens"/>
        </w:rPr>
        <w:endnoteRef/>
      </w:r>
      <w:r>
        <w:t xml:space="preserve"> Bidrag till nationella reformprogrammet 2024 </w:t>
      </w:r>
      <w:hyperlink r:id="rId7" w:history="1">
        <w:r w:rsidRPr="00537A18">
          <w:rPr>
            <w:rStyle w:val="Hyperlnk"/>
          </w:rPr>
          <w:t>https://funktionsratt.se/wp-content/uploads/2024/04/Funktionsratt-Sverige-bidrag-till-nationella-reformprogrammet-2024.docx</w:t>
        </w:r>
      </w:hyperlink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79947" w14:textId="61F046D3" w:rsidR="00737EE7" w:rsidRDefault="004B67F6" w:rsidP="00546D38">
    <w:pPr>
      <w:pStyle w:val="Sidfot"/>
      <w:tabs>
        <w:tab w:val="clear" w:pos="3686"/>
        <w:tab w:val="clear" w:pos="4536"/>
        <w:tab w:val="left" w:pos="5954"/>
      </w:tabs>
    </w:pPr>
    <w:r>
      <w:t>SOU 202</w:t>
    </w:r>
    <w:r w:rsidR="004B5717">
      <w:t>4:22</w:t>
    </w:r>
    <w:r w:rsidR="00546D38">
      <w:tab/>
    </w:r>
    <w:r w:rsidR="00737EE7" w:rsidRPr="00915F5D">
      <w:t xml:space="preserve"> </w:t>
    </w:r>
    <w:sdt>
      <w:sdtPr>
        <w:id w:val="638309517"/>
        <w:docPartObj>
          <w:docPartGallery w:val="Page Numbers (Bottom of Page)"/>
          <w:docPartUnique/>
        </w:docPartObj>
      </w:sdtPr>
      <w:sdtContent>
        <w:sdt>
          <w:sdtPr>
            <w:id w:val="97552809"/>
            <w:docPartObj>
              <w:docPartGallery w:val="Page Numbers (Top of Page)"/>
              <w:docPartUnique/>
            </w:docPartObj>
          </w:sdtPr>
          <w:sdtContent>
            <w:r w:rsidR="00737EE7">
              <w:t xml:space="preserve">Sida </w:t>
            </w:r>
            <w:r w:rsidR="00737EE7">
              <w:rPr>
                <w:b/>
              </w:rPr>
              <w:fldChar w:fldCharType="begin"/>
            </w:r>
            <w:r w:rsidR="00737EE7">
              <w:rPr>
                <w:b/>
              </w:rPr>
              <w:instrText>PAGE</w:instrText>
            </w:r>
            <w:r w:rsidR="00737EE7">
              <w:rPr>
                <w:b/>
              </w:rPr>
              <w:fldChar w:fldCharType="separate"/>
            </w:r>
            <w:r w:rsidR="000D07EF">
              <w:rPr>
                <w:b/>
                <w:noProof/>
              </w:rPr>
              <w:t>2</w:t>
            </w:r>
            <w:r w:rsidR="00737EE7">
              <w:rPr>
                <w:b/>
              </w:rPr>
              <w:fldChar w:fldCharType="end"/>
            </w:r>
            <w:r w:rsidR="00737EE7">
              <w:t xml:space="preserve"> av </w:t>
            </w:r>
            <w:r w:rsidR="00737EE7">
              <w:rPr>
                <w:b/>
              </w:rPr>
              <w:fldChar w:fldCharType="begin"/>
            </w:r>
            <w:r w:rsidR="00737EE7">
              <w:rPr>
                <w:b/>
              </w:rPr>
              <w:instrText>NUMPAGES</w:instrText>
            </w:r>
            <w:r w:rsidR="00737EE7">
              <w:rPr>
                <w:b/>
              </w:rPr>
              <w:fldChar w:fldCharType="separate"/>
            </w:r>
            <w:r w:rsidR="000D07EF">
              <w:rPr>
                <w:b/>
                <w:noProof/>
              </w:rPr>
              <w:t>2</w:t>
            </w:r>
            <w:r w:rsidR="00737EE7">
              <w:rPr>
                <w:b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CF637" w14:textId="77777777" w:rsidR="001F4AF0" w:rsidRPr="003C37F3" w:rsidRDefault="002B6877" w:rsidP="003C37F3">
    <w:pPr>
      <w:pStyle w:val="Ingetavstnd"/>
    </w:pPr>
    <w:r w:rsidRPr="003C37F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1F2652" wp14:editId="3E85858D">
              <wp:simplePos x="0" y="0"/>
              <wp:positionH relativeFrom="page">
                <wp:posOffset>0</wp:posOffset>
              </wp:positionH>
              <wp:positionV relativeFrom="paragraph">
                <wp:posOffset>-46355</wp:posOffset>
              </wp:positionV>
              <wp:extent cx="7562850" cy="635"/>
              <wp:effectExtent l="0" t="0" r="19050" b="37465"/>
              <wp:wrapNone/>
              <wp:docPr id="1" name="AutoShap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100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702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alt="&quot;&quot;" style="position:absolute;margin-left:0;margin-top:-3.65pt;width:595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CkvwEAAFgDAAAOAAAAZHJzL2Uyb0RvYy54bWysU01v2zAMvQ/YfxB0X+xkS9YZcQosXXfp&#10;1gDtfgAjy7YwWRRIJU7+/STVyb5uwy4CJZKPj4/U+vY0WHHUxAZdLeezUgrtFDbGdbX89nz/5kYK&#10;DuAasOh0Lc+a5e3m9av16Cu9wB5to0lEEMfV6GvZh+CromDV6wF4hl676GyRBgjxSl3REIwRfbDF&#10;oixXxYjUeEKlmePr3YtTbjJ+22oVHtuWdRC2lpFbyCflc5/OYrOGqiPwvVETDfgHFgMYF4teoe4g&#10;gDiQ+QtqMIqQsQ0zhUOBbWuUzj3EbublH9089eB17iWKw/4qE/8/WPX1uHU7StTVyT35B1TfWTjc&#10;9uA6nQk8n30c3DxJVYyeq2tKurDfkdiPX7CJMXAImFU4tTQkyNifOGWxz1ex9SkIFR/fL1eLm2Wc&#10;iYq+1dtlxofqkuqJw2eNg0hGLTkQmK4PW3QuDhVpngvB8YFDIgbVJSHVdXhvrM2ztU6MtfywXCxz&#10;AqM1TXKmMKZuv7UkjhC3Yzsvy3cfJxa/hREeXJPBeg3Np8kOYOyLHYtbN4mT9EjLx9Uem/OOLqLF&#10;8WWW06ql/fj1nrN/fojNDwAAAP//AwBQSwMEFAAGAAgAAAAhAK3UCEbdAAAABwEAAA8AAABkcnMv&#10;ZG93bnJldi54bWxMj8FuwjAQRO9I/QdrK3EDJ1SCksZBgIrUHBMqod5MvE3SxmsrdiD9+zqn9jgz&#10;q5m36W7UHbth71pDAuJlBAypMqqlWsD7+bR4Bua8JCU7QyjgBx3ssodZKhNl7lTgrfQ1CyXkEimg&#10;8d4mnLuqQS3d0likkH2aXksfZF9z1ct7KNcdX0XRmmvZUlhopMVjg9V3OWgBdjyUcf66zou3y3As&#10;vi4f9rzNhZg/jvsXYB5H/3cME35AhywwXc1AyrFOQHjEC1hsnoBNabyNg3OdnBXwLOX/+bNfAAAA&#10;//8DAFBLAQItABQABgAIAAAAIQC2gziS/gAAAOEBAAATAAAAAAAAAAAAAAAAAAAAAABbQ29udGVu&#10;dF9UeXBlc10ueG1sUEsBAi0AFAAGAAgAAAAhADj9If/WAAAAlAEAAAsAAAAAAAAAAAAAAAAALwEA&#10;AF9yZWxzLy5yZWxzUEsBAi0AFAAGAAgAAAAhABu5UKS/AQAAWAMAAA4AAAAAAAAAAAAAAAAALgIA&#10;AGRycy9lMm9Eb2MueG1sUEsBAi0AFAAGAAgAAAAhAK3UCEbdAAAABwEAAA8AAAAAAAAAAAAAAAAA&#10;GQQAAGRycy9kb3ducmV2LnhtbFBLBQYAAAAABAAEAPMAAAAjBQAAAAA=&#10;" strokecolor="#c1004b">
              <w10:wrap anchorx="page"/>
            </v:shape>
          </w:pict>
        </mc:Fallback>
      </mc:AlternateContent>
    </w:r>
    <w:r w:rsidR="00A656EA" w:rsidRPr="003C37F3">
      <w:t>Funktionsrätt Sverige</w:t>
    </w:r>
    <w:r w:rsidR="001F4AF0" w:rsidRPr="003C37F3">
      <w:t>, Box 1386, 172 27 Sundbyberg</w:t>
    </w:r>
    <w:r w:rsidR="00A656EA" w:rsidRPr="003C37F3">
      <w:br/>
      <w:t xml:space="preserve">Telefon 08 546 404 00. </w:t>
    </w:r>
    <w:r w:rsidR="001F4AF0" w:rsidRPr="003C37F3">
      <w:t xml:space="preserve"> </w:t>
    </w:r>
    <w:proofErr w:type="spellStart"/>
    <w:r w:rsidR="001F4AF0" w:rsidRPr="003C37F3">
      <w:t>Org</w:t>
    </w:r>
    <w:proofErr w:type="spellEnd"/>
    <w:r w:rsidR="001F4AF0" w:rsidRPr="003C37F3">
      <w:t xml:space="preserve"> nr 802006-2108</w:t>
    </w:r>
  </w:p>
  <w:p w14:paraId="658E737F" w14:textId="77777777" w:rsidR="00C8629E" w:rsidRPr="003C37F3" w:rsidRDefault="00000000" w:rsidP="003C37F3">
    <w:pPr>
      <w:pStyle w:val="Ingetavstnd"/>
    </w:pPr>
    <w:hyperlink r:id="rId1" w:history="1">
      <w:r w:rsidR="00A656EA" w:rsidRPr="003C37F3">
        <w:rPr>
          <w:rStyle w:val="Hyperlnk"/>
          <w:color w:val="auto"/>
          <w:u w:val="none"/>
        </w:rPr>
        <w:t>www.funktionsratt.se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0ADB7" w14:textId="77777777" w:rsidR="008204A6" w:rsidRDefault="008204A6" w:rsidP="000A2BB1">
      <w:r>
        <w:separator/>
      </w:r>
    </w:p>
  </w:footnote>
  <w:footnote w:type="continuationSeparator" w:id="0">
    <w:p w14:paraId="45CFF18B" w14:textId="77777777" w:rsidR="008204A6" w:rsidRDefault="008204A6" w:rsidP="000A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3A9D1" w14:textId="19EA8690" w:rsidR="0081318D" w:rsidRDefault="0081318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0A049" w14:textId="5538F94F" w:rsidR="005F150D" w:rsidRDefault="005F150D" w:rsidP="000A2BB1">
    <w:pPr>
      <w:pStyle w:val="Sidhuvud"/>
    </w:pPr>
  </w:p>
  <w:p w14:paraId="2B41FFCA" w14:textId="77777777" w:rsidR="00353245" w:rsidRDefault="00353245" w:rsidP="000A2BB1">
    <w:pPr>
      <w:pStyle w:val="Sidhuvud"/>
    </w:pPr>
  </w:p>
  <w:p w14:paraId="44EAB347" w14:textId="77777777" w:rsidR="00912654" w:rsidRDefault="00912654" w:rsidP="000A2BB1">
    <w:pPr>
      <w:pStyle w:val="Sidhuvud"/>
    </w:pPr>
  </w:p>
  <w:p w14:paraId="7AEC938A" w14:textId="77777777" w:rsidR="00912654" w:rsidRDefault="00912654" w:rsidP="000A2BB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EB20C" w14:textId="2B87F5B9" w:rsidR="00C8629E" w:rsidRDefault="00C8629E" w:rsidP="000A2BB1">
    <w:pPr>
      <w:pStyle w:val="Sidhuvud"/>
    </w:pPr>
  </w:p>
  <w:p w14:paraId="3F212557" w14:textId="77777777" w:rsidR="00C8629E" w:rsidRDefault="00C8629E" w:rsidP="000A2BB1">
    <w:pPr>
      <w:pStyle w:val="Sidhuvud"/>
    </w:pPr>
  </w:p>
  <w:p w14:paraId="75A2502C" w14:textId="77777777" w:rsidR="00C8629E" w:rsidRDefault="00A656EA" w:rsidP="001404A9">
    <w:pPr>
      <w:pStyle w:val="Sidhuvud"/>
      <w:jc w:val="center"/>
    </w:pPr>
    <w:r w:rsidRPr="00A656EA">
      <w:rPr>
        <w:noProof/>
      </w:rPr>
      <w:drawing>
        <wp:inline distT="0" distB="0" distL="0" distR="0" wp14:anchorId="2BD9E26B" wp14:editId="7D45AFB8">
          <wp:extent cx="1911350" cy="860108"/>
          <wp:effectExtent l="0" t="0" r="0" b="0"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530" cy="867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A9274" w14:textId="77777777" w:rsidR="00C8629E" w:rsidRDefault="00C8629E" w:rsidP="000A2BB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0D82B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31FA6"/>
    <w:multiLevelType w:val="hybridMultilevel"/>
    <w:tmpl w:val="D7209B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A464C"/>
    <w:multiLevelType w:val="hybridMultilevel"/>
    <w:tmpl w:val="2ACC4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E23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8CB7AFE"/>
    <w:multiLevelType w:val="hybridMultilevel"/>
    <w:tmpl w:val="4EDEEC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41B7F"/>
    <w:multiLevelType w:val="hybridMultilevel"/>
    <w:tmpl w:val="419423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383192">
    <w:abstractNumId w:val="1"/>
  </w:num>
  <w:num w:numId="2" w16cid:durableId="966811652">
    <w:abstractNumId w:val="4"/>
  </w:num>
  <w:num w:numId="3" w16cid:durableId="289439533">
    <w:abstractNumId w:val="5"/>
  </w:num>
  <w:num w:numId="4" w16cid:durableId="1452362951">
    <w:abstractNumId w:val="2"/>
  </w:num>
  <w:num w:numId="5" w16cid:durableId="1359820633">
    <w:abstractNumId w:val="2"/>
  </w:num>
  <w:num w:numId="6" w16cid:durableId="1387029354">
    <w:abstractNumId w:val="0"/>
  </w:num>
  <w:num w:numId="7" w16cid:durableId="606087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A9"/>
    <w:rsid w:val="00001BB5"/>
    <w:rsid w:val="00003D47"/>
    <w:rsid w:val="00004DE2"/>
    <w:rsid w:val="000056EC"/>
    <w:rsid w:val="00005A53"/>
    <w:rsid w:val="00005D32"/>
    <w:rsid w:val="00005D59"/>
    <w:rsid w:val="00005E2A"/>
    <w:rsid w:val="00005FD6"/>
    <w:rsid w:val="00007531"/>
    <w:rsid w:val="00011059"/>
    <w:rsid w:val="000134F9"/>
    <w:rsid w:val="0001380D"/>
    <w:rsid w:val="0001476A"/>
    <w:rsid w:val="00015105"/>
    <w:rsid w:val="00015C3F"/>
    <w:rsid w:val="00020DA9"/>
    <w:rsid w:val="000222A7"/>
    <w:rsid w:val="000241E8"/>
    <w:rsid w:val="000247E5"/>
    <w:rsid w:val="00026B7F"/>
    <w:rsid w:val="000278BF"/>
    <w:rsid w:val="00030B2B"/>
    <w:rsid w:val="00030EFC"/>
    <w:rsid w:val="000314A3"/>
    <w:rsid w:val="00031B59"/>
    <w:rsid w:val="00036CDB"/>
    <w:rsid w:val="00037122"/>
    <w:rsid w:val="00046677"/>
    <w:rsid w:val="000473EC"/>
    <w:rsid w:val="00047EA3"/>
    <w:rsid w:val="000502C4"/>
    <w:rsid w:val="000532FD"/>
    <w:rsid w:val="00054396"/>
    <w:rsid w:val="000551E7"/>
    <w:rsid w:val="00057E8F"/>
    <w:rsid w:val="00064855"/>
    <w:rsid w:val="00071333"/>
    <w:rsid w:val="00071426"/>
    <w:rsid w:val="00073A09"/>
    <w:rsid w:val="00074156"/>
    <w:rsid w:val="0007492A"/>
    <w:rsid w:val="00074C7B"/>
    <w:rsid w:val="00074EC2"/>
    <w:rsid w:val="000758E1"/>
    <w:rsid w:val="00076E79"/>
    <w:rsid w:val="00076FE6"/>
    <w:rsid w:val="00077EB3"/>
    <w:rsid w:val="00083645"/>
    <w:rsid w:val="00090505"/>
    <w:rsid w:val="00090998"/>
    <w:rsid w:val="00092105"/>
    <w:rsid w:val="000952AF"/>
    <w:rsid w:val="000962DB"/>
    <w:rsid w:val="00096852"/>
    <w:rsid w:val="000A0D3C"/>
    <w:rsid w:val="000A2BB1"/>
    <w:rsid w:val="000B0503"/>
    <w:rsid w:val="000B23B9"/>
    <w:rsid w:val="000B74F4"/>
    <w:rsid w:val="000C0AFB"/>
    <w:rsid w:val="000C3B37"/>
    <w:rsid w:val="000D07EF"/>
    <w:rsid w:val="000D3482"/>
    <w:rsid w:val="000D3A09"/>
    <w:rsid w:val="000D6C43"/>
    <w:rsid w:val="000D77F3"/>
    <w:rsid w:val="000D7BC8"/>
    <w:rsid w:val="000E01F3"/>
    <w:rsid w:val="000E07B2"/>
    <w:rsid w:val="000E15F7"/>
    <w:rsid w:val="000E1EA0"/>
    <w:rsid w:val="000E1F09"/>
    <w:rsid w:val="000E26BF"/>
    <w:rsid w:val="000E2A92"/>
    <w:rsid w:val="000E5C74"/>
    <w:rsid w:val="000E5E38"/>
    <w:rsid w:val="000F0A41"/>
    <w:rsid w:val="000F2EDF"/>
    <w:rsid w:val="000F3995"/>
    <w:rsid w:val="000F461A"/>
    <w:rsid w:val="000F56D1"/>
    <w:rsid w:val="000F6915"/>
    <w:rsid w:val="000F70B2"/>
    <w:rsid w:val="0010617A"/>
    <w:rsid w:val="001138BD"/>
    <w:rsid w:val="00114878"/>
    <w:rsid w:val="00117699"/>
    <w:rsid w:val="0012498D"/>
    <w:rsid w:val="00125259"/>
    <w:rsid w:val="00125B09"/>
    <w:rsid w:val="00126D93"/>
    <w:rsid w:val="001303F7"/>
    <w:rsid w:val="00130A42"/>
    <w:rsid w:val="001321E4"/>
    <w:rsid w:val="00133673"/>
    <w:rsid w:val="00134EE3"/>
    <w:rsid w:val="001352AA"/>
    <w:rsid w:val="0013615C"/>
    <w:rsid w:val="001404A9"/>
    <w:rsid w:val="00140682"/>
    <w:rsid w:val="0014161A"/>
    <w:rsid w:val="00142984"/>
    <w:rsid w:val="001447E4"/>
    <w:rsid w:val="00146F13"/>
    <w:rsid w:val="00147CF2"/>
    <w:rsid w:val="00154CDD"/>
    <w:rsid w:val="001564A4"/>
    <w:rsid w:val="001600D8"/>
    <w:rsid w:val="00160CC3"/>
    <w:rsid w:val="001610D3"/>
    <w:rsid w:val="00161C60"/>
    <w:rsid w:val="00165E0A"/>
    <w:rsid w:val="00167567"/>
    <w:rsid w:val="00171010"/>
    <w:rsid w:val="001714DC"/>
    <w:rsid w:val="00171E85"/>
    <w:rsid w:val="00177F9C"/>
    <w:rsid w:val="00184690"/>
    <w:rsid w:val="00190757"/>
    <w:rsid w:val="00190ACF"/>
    <w:rsid w:val="00195494"/>
    <w:rsid w:val="00195AEA"/>
    <w:rsid w:val="0019741B"/>
    <w:rsid w:val="00197BCE"/>
    <w:rsid w:val="001A04B4"/>
    <w:rsid w:val="001A22A6"/>
    <w:rsid w:val="001A2DDB"/>
    <w:rsid w:val="001A34DC"/>
    <w:rsid w:val="001A5482"/>
    <w:rsid w:val="001A79F6"/>
    <w:rsid w:val="001B1059"/>
    <w:rsid w:val="001B1131"/>
    <w:rsid w:val="001B18D4"/>
    <w:rsid w:val="001B4F7D"/>
    <w:rsid w:val="001B6BE4"/>
    <w:rsid w:val="001C00EF"/>
    <w:rsid w:val="001C2135"/>
    <w:rsid w:val="001C3777"/>
    <w:rsid w:val="001C490A"/>
    <w:rsid w:val="001C6104"/>
    <w:rsid w:val="001D0711"/>
    <w:rsid w:val="001D0889"/>
    <w:rsid w:val="001D203D"/>
    <w:rsid w:val="001D273B"/>
    <w:rsid w:val="001D403C"/>
    <w:rsid w:val="001D40AB"/>
    <w:rsid w:val="001D4149"/>
    <w:rsid w:val="001D507F"/>
    <w:rsid w:val="001D5831"/>
    <w:rsid w:val="001D6156"/>
    <w:rsid w:val="001D6D0C"/>
    <w:rsid w:val="001E13A1"/>
    <w:rsid w:val="001E236F"/>
    <w:rsid w:val="001E391A"/>
    <w:rsid w:val="001E3AE9"/>
    <w:rsid w:val="001E694E"/>
    <w:rsid w:val="001F17B0"/>
    <w:rsid w:val="001F1D73"/>
    <w:rsid w:val="001F35CE"/>
    <w:rsid w:val="001F4527"/>
    <w:rsid w:val="001F4AF0"/>
    <w:rsid w:val="001F66B2"/>
    <w:rsid w:val="001F765C"/>
    <w:rsid w:val="00200A8A"/>
    <w:rsid w:val="00202F7A"/>
    <w:rsid w:val="002045A6"/>
    <w:rsid w:val="00205EA2"/>
    <w:rsid w:val="00210441"/>
    <w:rsid w:val="00211064"/>
    <w:rsid w:val="00211895"/>
    <w:rsid w:val="002130D3"/>
    <w:rsid w:val="00215722"/>
    <w:rsid w:val="00215897"/>
    <w:rsid w:val="00220638"/>
    <w:rsid w:val="00220CB0"/>
    <w:rsid w:val="002234C9"/>
    <w:rsid w:val="0022557A"/>
    <w:rsid w:val="00225DAE"/>
    <w:rsid w:val="00227309"/>
    <w:rsid w:val="00227527"/>
    <w:rsid w:val="002301B1"/>
    <w:rsid w:val="00232DBC"/>
    <w:rsid w:val="002334C0"/>
    <w:rsid w:val="00233D10"/>
    <w:rsid w:val="0024109D"/>
    <w:rsid w:val="00243787"/>
    <w:rsid w:val="002444B8"/>
    <w:rsid w:val="00246200"/>
    <w:rsid w:val="002463C3"/>
    <w:rsid w:val="002473B0"/>
    <w:rsid w:val="00252C8D"/>
    <w:rsid w:val="00253CA9"/>
    <w:rsid w:val="00253CF9"/>
    <w:rsid w:val="00255B8D"/>
    <w:rsid w:val="002565D5"/>
    <w:rsid w:val="00262B52"/>
    <w:rsid w:val="00266119"/>
    <w:rsid w:val="00266C6B"/>
    <w:rsid w:val="002739AD"/>
    <w:rsid w:val="00274E2C"/>
    <w:rsid w:val="002771FB"/>
    <w:rsid w:val="0028319C"/>
    <w:rsid w:val="002832D9"/>
    <w:rsid w:val="00283FF8"/>
    <w:rsid w:val="00284B83"/>
    <w:rsid w:val="00284C35"/>
    <w:rsid w:val="00286A2E"/>
    <w:rsid w:val="00290AB9"/>
    <w:rsid w:val="00290C92"/>
    <w:rsid w:val="00296F0D"/>
    <w:rsid w:val="002A11AA"/>
    <w:rsid w:val="002A30AF"/>
    <w:rsid w:val="002A43F7"/>
    <w:rsid w:val="002B4A2E"/>
    <w:rsid w:val="002B6695"/>
    <w:rsid w:val="002B6795"/>
    <w:rsid w:val="002B6877"/>
    <w:rsid w:val="002C0AED"/>
    <w:rsid w:val="002C18DB"/>
    <w:rsid w:val="002C1D42"/>
    <w:rsid w:val="002C2F24"/>
    <w:rsid w:val="002C4BBE"/>
    <w:rsid w:val="002C641E"/>
    <w:rsid w:val="002D352D"/>
    <w:rsid w:val="002D41AF"/>
    <w:rsid w:val="002D4920"/>
    <w:rsid w:val="002D640F"/>
    <w:rsid w:val="002D6F91"/>
    <w:rsid w:val="002E0888"/>
    <w:rsid w:val="002E410A"/>
    <w:rsid w:val="002E647B"/>
    <w:rsid w:val="002E6F39"/>
    <w:rsid w:val="002E7EBC"/>
    <w:rsid w:val="002F38F6"/>
    <w:rsid w:val="002F5726"/>
    <w:rsid w:val="002F579C"/>
    <w:rsid w:val="002F5E6E"/>
    <w:rsid w:val="002F667B"/>
    <w:rsid w:val="002F6B5D"/>
    <w:rsid w:val="003009FD"/>
    <w:rsid w:val="00301369"/>
    <w:rsid w:val="0030405A"/>
    <w:rsid w:val="003048FE"/>
    <w:rsid w:val="00305B61"/>
    <w:rsid w:val="003075FA"/>
    <w:rsid w:val="00315F4B"/>
    <w:rsid w:val="00317F4E"/>
    <w:rsid w:val="003200F6"/>
    <w:rsid w:val="00323A4D"/>
    <w:rsid w:val="00326E84"/>
    <w:rsid w:val="003371D5"/>
    <w:rsid w:val="00337566"/>
    <w:rsid w:val="00340F58"/>
    <w:rsid w:val="00343F62"/>
    <w:rsid w:val="00344809"/>
    <w:rsid w:val="003454F0"/>
    <w:rsid w:val="003466D6"/>
    <w:rsid w:val="00346925"/>
    <w:rsid w:val="00350348"/>
    <w:rsid w:val="0035211F"/>
    <w:rsid w:val="00352643"/>
    <w:rsid w:val="00353245"/>
    <w:rsid w:val="00354BB3"/>
    <w:rsid w:val="00357C48"/>
    <w:rsid w:val="003612FA"/>
    <w:rsid w:val="0036202F"/>
    <w:rsid w:val="00362077"/>
    <w:rsid w:val="003623A4"/>
    <w:rsid w:val="0036300B"/>
    <w:rsid w:val="00364471"/>
    <w:rsid w:val="003652D6"/>
    <w:rsid w:val="00366719"/>
    <w:rsid w:val="00367246"/>
    <w:rsid w:val="003704F7"/>
    <w:rsid w:val="0037076A"/>
    <w:rsid w:val="00370785"/>
    <w:rsid w:val="00371165"/>
    <w:rsid w:val="003716FF"/>
    <w:rsid w:val="00371EE6"/>
    <w:rsid w:val="003759FA"/>
    <w:rsid w:val="00376209"/>
    <w:rsid w:val="00382219"/>
    <w:rsid w:val="00382AF1"/>
    <w:rsid w:val="00382D0F"/>
    <w:rsid w:val="00384485"/>
    <w:rsid w:val="003902A0"/>
    <w:rsid w:val="0039143B"/>
    <w:rsid w:val="003921DF"/>
    <w:rsid w:val="00392623"/>
    <w:rsid w:val="003929AF"/>
    <w:rsid w:val="003944B1"/>
    <w:rsid w:val="0039767F"/>
    <w:rsid w:val="003A2110"/>
    <w:rsid w:val="003A261C"/>
    <w:rsid w:val="003A2904"/>
    <w:rsid w:val="003A42F7"/>
    <w:rsid w:val="003B11C3"/>
    <w:rsid w:val="003B3811"/>
    <w:rsid w:val="003B56F6"/>
    <w:rsid w:val="003C08AC"/>
    <w:rsid w:val="003C37F3"/>
    <w:rsid w:val="003C49AC"/>
    <w:rsid w:val="003D3546"/>
    <w:rsid w:val="003D5477"/>
    <w:rsid w:val="003D6417"/>
    <w:rsid w:val="003E0D2C"/>
    <w:rsid w:val="003E1152"/>
    <w:rsid w:val="003E1653"/>
    <w:rsid w:val="003E536B"/>
    <w:rsid w:val="003F4028"/>
    <w:rsid w:val="003F45C4"/>
    <w:rsid w:val="0040013B"/>
    <w:rsid w:val="0040144A"/>
    <w:rsid w:val="00403E79"/>
    <w:rsid w:val="0041016F"/>
    <w:rsid w:val="00412D08"/>
    <w:rsid w:val="0041313B"/>
    <w:rsid w:val="00415588"/>
    <w:rsid w:val="00415861"/>
    <w:rsid w:val="00415C74"/>
    <w:rsid w:val="0041600D"/>
    <w:rsid w:val="00416C25"/>
    <w:rsid w:val="00417E6D"/>
    <w:rsid w:val="00421354"/>
    <w:rsid w:val="004238EA"/>
    <w:rsid w:val="00427E82"/>
    <w:rsid w:val="00427FE2"/>
    <w:rsid w:val="00433A01"/>
    <w:rsid w:val="00434778"/>
    <w:rsid w:val="00434932"/>
    <w:rsid w:val="00435D4A"/>
    <w:rsid w:val="00437C9B"/>
    <w:rsid w:val="004453AA"/>
    <w:rsid w:val="00445512"/>
    <w:rsid w:val="00446058"/>
    <w:rsid w:val="004469B1"/>
    <w:rsid w:val="00447DD4"/>
    <w:rsid w:val="00450F06"/>
    <w:rsid w:val="00452D3A"/>
    <w:rsid w:val="00452F9B"/>
    <w:rsid w:val="00460C47"/>
    <w:rsid w:val="00460D41"/>
    <w:rsid w:val="00465D3E"/>
    <w:rsid w:val="00472C3B"/>
    <w:rsid w:val="00474D42"/>
    <w:rsid w:val="00474F7F"/>
    <w:rsid w:val="00475A3C"/>
    <w:rsid w:val="004765C9"/>
    <w:rsid w:val="00483225"/>
    <w:rsid w:val="00483464"/>
    <w:rsid w:val="00484385"/>
    <w:rsid w:val="004877BC"/>
    <w:rsid w:val="004916A3"/>
    <w:rsid w:val="00491FA5"/>
    <w:rsid w:val="00492AB2"/>
    <w:rsid w:val="004939BB"/>
    <w:rsid w:val="004A08AC"/>
    <w:rsid w:val="004A2456"/>
    <w:rsid w:val="004A41CB"/>
    <w:rsid w:val="004B1190"/>
    <w:rsid w:val="004B3CAD"/>
    <w:rsid w:val="004B5717"/>
    <w:rsid w:val="004B6603"/>
    <w:rsid w:val="004B67F6"/>
    <w:rsid w:val="004C04BE"/>
    <w:rsid w:val="004C2104"/>
    <w:rsid w:val="004C2676"/>
    <w:rsid w:val="004C7D5A"/>
    <w:rsid w:val="004D1199"/>
    <w:rsid w:val="004D223A"/>
    <w:rsid w:val="004D25F8"/>
    <w:rsid w:val="004D370F"/>
    <w:rsid w:val="004D3BCE"/>
    <w:rsid w:val="004D6A61"/>
    <w:rsid w:val="004E0EDE"/>
    <w:rsid w:val="004E283C"/>
    <w:rsid w:val="004E2A87"/>
    <w:rsid w:val="004E4FDB"/>
    <w:rsid w:val="004E682C"/>
    <w:rsid w:val="004E6ECD"/>
    <w:rsid w:val="004F0F3C"/>
    <w:rsid w:val="004F2FF5"/>
    <w:rsid w:val="004F631F"/>
    <w:rsid w:val="004F7BB7"/>
    <w:rsid w:val="00500CD8"/>
    <w:rsid w:val="00501653"/>
    <w:rsid w:val="00503008"/>
    <w:rsid w:val="0050562F"/>
    <w:rsid w:val="00506DEB"/>
    <w:rsid w:val="005077CB"/>
    <w:rsid w:val="00510258"/>
    <w:rsid w:val="00511B90"/>
    <w:rsid w:val="00512A86"/>
    <w:rsid w:val="0051436F"/>
    <w:rsid w:val="00516EC7"/>
    <w:rsid w:val="00520EC6"/>
    <w:rsid w:val="00525069"/>
    <w:rsid w:val="005320DB"/>
    <w:rsid w:val="00532FA0"/>
    <w:rsid w:val="00534570"/>
    <w:rsid w:val="00534711"/>
    <w:rsid w:val="00540ACA"/>
    <w:rsid w:val="00541642"/>
    <w:rsid w:val="00543344"/>
    <w:rsid w:val="00546D38"/>
    <w:rsid w:val="00551B05"/>
    <w:rsid w:val="00553F76"/>
    <w:rsid w:val="00554C05"/>
    <w:rsid w:val="00555BE5"/>
    <w:rsid w:val="005572FF"/>
    <w:rsid w:val="005575AF"/>
    <w:rsid w:val="00563A74"/>
    <w:rsid w:val="00564062"/>
    <w:rsid w:val="00566151"/>
    <w:rsid w:val="00566AC4"/>
    <w:rsid w:val="00566FDE"/>
    <w:rsid w:val="0056757E"/>
    <w:rsid w:val="00576669"/>
    <w:rsid w:val="005768F9"/>
    <w:rsid w:val="005818A2"/>
    <w:rsid w:val="00584113"/>
    <w:rsid w:val="0059011F"/>
    <w:rsid w:val="00591213"/>
    <w:rsid w:val="0059292B"/>
    <w:rsid w:val="00592E58"/>
    <w:rsid w:val="00594784"/>
    <w:rsid w:val="00594CE1"/>
    <w:rsid w:val="00594CF2"/>
    <w:rsid w:val="00596C9B"/>
    <w:rsid w:val="0059712A"/>
    <w:rsid w:val="005979AA"/>
    <w:rsid w:val="005A1427"/>
    <w:rsid w:val="005A1AFD"/>
    <w:rsid w:val="005A4615"/>
    <w:rsid w:val="005A6C7F"/>
    <w:rsid w:val="005B28DF"/>
    <w:rsid w:val="005B5B95"/>
    <w:rsid w:val="005B5E5A"/>
    <w:rsid w:val="005B7C11"/>
    <w:rsid w:val="005C1606"/>
    <w:rsid w:val="005C18D6"/>
    <w:rsid w:val="005C24B2"/>
    <w:rsid w:val="005C6345"/>
    <w:rsid w:val="005C76DA"/>
    <w:rsid w:val="005D0A76"/>
    <w:rsid w:val="005D6BA9"/>
    <w:rsid w:val="005E293D"/>
    <w:rsid w:val="005E31DC"/>
    <w:rsid w:val="005E6E4D"/>
    <w:rsid w:val="005E7702"/>
    <w:rsid w:val="005F06D1"/>
    <w:rsid w:val="005F0D5B"/>
    <w:rsid w:val="005F150D"/>
    <w:rsid w:val="005F194E"/>
    <w:rsid w:val="005F1F1A"/>
    <w:rsid w:val="005F591D"/>
    <w:rsid w:val="00600852"/>
    <w:rsid w:val="00601121"/>
    <w:rsid w:val="0060156D"/>
    <w:rsid w:val="0060663D"/>
    <w:rsid w:val="00606CA4"/>
    <w:rsid w:val="00606ED3"/>
    <w:rsid w:val="006132C9"/>
    <w:rsid w:val="00613EF6"/>
    <w:rsid w:val="00620599"/>
    <w:rsid w:val="00621705"/>
    <w:rsid w:val="00622EE1"/>
    <w:rsid w:val="00623030"/>
    <w:rsid w:val="006230DD"/>
    <w:rsid w:val="00630B8C"/>
    <w:rsid w:val="00632DA0"/>
    <w:rsid w:val="00632DB4"/>
    <w:rsid w:val="00633F8F"/>
    <w:rsid w:val="00640F6B"/>
    <w:rsid w:val="0064198E"/>
    <w:rsid w:val="00641CB0"/>
    <w:rsid w:val="006420DF"/>
    <w:rsid w:val="00642BB2"/>
    <w:rsid w:val="00643080"/>
    <w:rsid w:val="0064454C"/>
    <w:rsid w:val="006522EC"/>
    <w:rsid w:val="006539B3"/>
    <w:rsid w:val="0065467C"/>
    <w:rsid w:val="00655A59"/>
    <w:rsid w:val="00655DFA"/>
    <w:rsid w:val="00661DA5"/>
    <w:rsid w:val="006621E0"/>
    <w:rsid w:val="006629CF"/>
    <w:rsid w:val="006652CF"/>
    <w:rsid w:val="006671EE"/>
    <w:rsid w:val="006674F1"/>
    <w:rsid w:val="006707C0"/>
    <w:rsid w:val="00674563"/>
    <w:rsid w:val="00674C72"/>
    <w:rsid w:val="00675912"/>
    <w:rsid w:val="00676623"/>
    <w:rsid w:val="0067715C"/>
    <w:rsid w:val="0067722A"/>
    <w:rsid w:val="00680269"/>
    <w:rsid w:val="00680D8E"/>
    <w:rsid w:val="00680F1F"/>
    <w:rsid w:val="00681996"/>
    <w:rsid w:val="00682C32"/>
    <w:rsid w:val="0068369A"/>
    <w:rsid w:val="00683B12"/>
    <w:rsid w:val="00683D6A"/>
    <w:rsid w:val="006849E8"/>
    <w:rsid w:val="00686EE7"/>
    <w:rsid w:val="00690D81"/>
    <w:rsid w:val="0069187D"/>
    <w:rsid w:val="00693914"/>
    <w:rsid w:val="00697510"/>
    <w:rsid w:val="006A28FF"/>
    <w:rsid w:val="006A633E"/>
    <w:rsid w:val="006A67B1"/>
    <w:rsid w:val="006B07FC"/>
    <w:rsid w:val="006B1D13"/>
    <w:rsid w:val="006B279A"/>
    <w:rsid w:val="006B6BCF"/>
    <w:rsid w:val="006C0497"/>
    <w:rsid w:val="006C0774"/>
    <w:rsid w:val="006C11C7"/>
    <w:rsid w:val="006C1224"/>
    <w:rsid w:val="006C5B5A"/>
    <w:rsid w:val="006C71A8"/>
    <w:rsid w:val="006C7B98"/>
    <w:rsid w:val="006D3A05"/>
    <w:rsid w:val="006D7051"/>
    <w:rsid w:val="006E0588"/>
    <w:rsid w:val="006E0CAA"/>
    <w:rsid w:val="006E345D"/>
    <w:rsid w:val="006E34AF"/>
    <w:rsid w:val="006E3CD3"/>
    <w:rsid w:val="006E5075"/>
    <w:rsid w:val="006E5AC8"/>
    <w:rsid w:val="006E5DE9"/>
    <w:rsid w:val="006E795A"/>
    <w:rsid w:val="006F1761"/>
    <w:rsid w:val="006F3DD7"/>
    <w:rsid w:val="006F527E"/>
    <w:rsid w:val="006F718D"/>
    <w:rsid w:val="006F745D"/>
    <w:rsid w:val="00703A29"/>
    <w:rsid w:val="007042FB"/>
    <w:rsid w:val="007063A1"/>
    <w:rsid w:val="007072F8"/>
    <w:rsid w:val="007074D6"/>
    <w:rsid w:val="007079BB"/>
    <w:rsid w:val="00710DD2"/>
    <w:rsid w:val="00711D6D"/>
    <w:rsid w:val="00711DF0"/>
    <w:rsid w:val="00714118"/>
    <w:rsid w:val="00715A21"/>
    <w:rsid w:val="0071684D"/>
    <w:rsid w:val="00722EA2"/>
    <w:rsid w:val="00725102"/>
    <w:rsid w:val="00725495"/>
    <w:rsid w:val="00726E88"/>
    <w:rsid w:val="00730392"/>
    <w:rsid w:val="00733172"/>
    <w:rsid w:val="00733492"/>
    <w:rsid w:val="00736CE6"/>
    <w:rsid w:val="00737EE7"/>
    <w:rsid w:val="007444AD"/>
    <w:rsid w:val="00744E4D"/>
    <w:rsid w:val="007457EE"/>
    <w:rsid w:val="00750FF4"/>
    <w:rsid w:val="00754C00"/>
    <w:rsid w:val="00756B41"/>
    <w:rsid w:val="00757426"/>
    <w:rsid w:val="00760AEB"/>
    <w:rsid w:val="00760D96"/>
    <w:rsid w:val="00761BD6"/>
    <w:rsid w:val="00762D15"/>
    <w:rsid w:val="00763B83"/>
    <w:rsid w:val="00772889"/>
    <w:rsid w:val="00773083"/>
    <w:rsid w:val="007731B7"/>
    <w:rsid w:val="0077500A"/>
    <w:rsid w:val="00776369"/>
    <w:rsid w:val="007773D5"/>
    <w:rsid w:val="0078387D"/>
    <w:rsid w:val="00786BB9"/>
    <w:rsid w:val="007900D3"/>
    <w:rsid w:val="00790F1E"/>
    <w:rsid w:val="00793D2B"/>
    <w:rsid w:val="0079405D"/>
    <w:rsid w:val="00794388"/>
    <w:rsid w:val="007A05F8"/>
    <w:rsid w:val="007A0CD7"/>
    <w:rsid w:val="007A1082"/>
    <w:rsid w:val="007A387C"/>
    <w:rsid w:val="007A4FB1"/>
    <w:rsid w:val="007A7BE6"/>
    <w:rsid w:val="007B0E8A"/>
    <w:rsid w:val="007B103B"/>
    <w:rsid w:val="007B103F"/>
    <w:rsid w:val="007B1FB9"/>
    <w:rsid w:val="007B7B47"/>
    <w:rsid w:val="007C0140"/>
    <w:rsid w:val="007C1365"/>
    <w:rsid w:val="007C5869"/>
    <w:rsid w:val="007C644B"/>
    <w:rsid w:val="007D250C"/>
    <w:rsid w:val="007D3D99"/>
    <w:rsid w:val="007D4684"/>
    <w:rsid w:val="007D4DEA"/>
    <w:rsid w:val="007D5101"/>
    <w:rsid w:val="007D6559"/>
    <w:rsid w:val="007D6E84"/>
    <w:rsid w:val="007E31C8"/>
    <w:rsid w:val="007E32A6"/>
    <w:rsid w:val="007E36E4"/>
    <w:rsid w:val="007E6142"/>
    <w:rsid w:val="007F0572"/>
    <w:rsid w:val="007F5931"/>
    <w:rsid w:val="0080133F"/>
    <w:rsid w:val="0080329F"/>
    <w:rsid w:val="00803F21"/>
    <w:rsid w:val="0080712B"/>
    <w:rsid w:val="0080765B"/>
    <w:rsid w:val="008109E9"/>
    <w:rsid w:val="00811344"/>
    <w:rsid w:val="008126F7"/>
    <w:rsid w:val="0081318D"/>
    <w:rsid w:val="008204A6"/>
    <w:rsid w:val="008213BB"/>
    <w:rsid w:val="00821F9F"/>
    <w:rsid w:val="00822DDE"/>
    <w:rsid w:val="00823BB8"/>
    <w:rsid w:val="00827A62"/>
    <w:rsid w:val="0083109F"/>
    <w:rsid w:val="00834070"/>
    <w:rsid w:val="00835A17"/>
    <w:rsid w:val="00840F5A"/>
    <w:rsid w:val="008447EF"/>
    <w:rsid w:val="008457F9"/>
    <w:rsid w:val="00845B6B"/>
    <w:rsid w:val="008502A4"/>
    <w:rsid w:val="0085235D"/>
    <w:rsid w:val="00852EAC"/>
    <w:rsid w:val="00853511"/>
    <w:rsid w:val="00854FE9"/>
    <w:rsid w:val="00856F82"/>
    <w:rsid w:val="008573E9"/>
    <w:rsid w:val="008629C1"/>
    <w:rsid w:val="00862B2A"/>
    <w:rsid w:val="008631B1"/>
    <w:rsid w:val="00863603"/>
    <w:rsid w:val="00863D54"/>
    <w:rsid w:val="0086585E"/>
    <w:rsid w:val="00865980"/>
    <w:rsid w:val="00865A84"/>
    <w:rsid w:val="00866B12"/>
    <w:rsid w:val="00867AE7"/>
    <w:rsid w:val="008708C6"/>
    <w:rsid w:val="00870EDB"/>
    <w:rsid w:val="00870FA8"/>
    <w:rsid w:val="008819B7"/>
    <w:rsid w:val="008827C9"/>
    <w:rsid w:val="00885E83"/>
    <w:rsid w:val="008877CA"/>
    <w:rsid w:val="0089058E"/>
    <w:rsid w:val="00890CC1"/>
    <w:rsid w:val="00891288"/>
    <w:rsid w:val="008939FD"/>
    <w:rsid w:val="0089416B"/>
    <w:rsid w:val="008944E4"/>
    <w:rsid w:val="00895971"/>
    <w:rsid w:val="008970D4"/>
    <w:rsid w:val="008A026D"/>
    <w:rsid w:val="008A0DAB"/>
    <w:rsid w:val="008A7455"/>
    <w:rsid w:val="008B0CB5"/>
    <w:rsid w:val="008B0D54"/>
    <w:rsid w:val="008B1E03"/>
    <w:rsid w:val="008B266D"/>
    <w:rsid w:val="008B2976"/>
    <w:rsid w:val="008B2A88"/>
    <w:rsid w:val="008B2E07"/>
    <w:rsid w:val="008C06EC"/>
    <w:rsid w:val="008C1EA6"/>
    <w:rsid w:val="008C34DE"/>
    <w:rsid w:val="008C3521"/>
    <w:rsid w:val="008C4C80"/>
    <w:rsid w:val="008D04A9"/>
    <w:rsid w:val="008D09F0"/>
    <w:rsid w:val="008D5619"/>
    <w:rsid w:val="008D5CBB"/>
    <w:rsid w:val="008D60D7"/>
    <w:rsid w:val="008D77F2"/>
    <w:rsid w:val="008D7A8B"/>
    <w:rsid w:val="008E0EAC"/>
    <w:rsid w:val="008E3719"/>
    <w:rsid w:val="008E6F84"/>
    <w:rsid w:val="008F138D"/>
    <w:rsid w:val="008F2402"/>
    <w:rsid w:val="008F3824"/>
    <w:rsid w:val="008F3BFD"/>
    <w:rsid w:val="008F4368"/>
    <w:rsid w:val="008F7F74"/>
    <w:rsid w:val="00902435"/>
    <w:rsid w:val="00904446"/>
    <w:rsid w:val="00904D39"/>
    <w:rsid w:val="009050BC"/>
    <w:rsid w:val="00910954"/>
    <w:rsid w:val="00912654"/>
    <w:rsid w:val="00913369"/>
    <w:rsid w:val="00913617"/>
    <w:rsid w:val="00914CB1"/>
    <w:rsid w:val="00915637"/>
    <w:rsid w:val="00915F5D"/>
    <w:rsid w:val="009213DD"/>
    <w:rsid w:val="00935FE1"/>
    <w:rsid w:val="00936E64"/>
    <w:rsid w:val="0093703C"/>
    <w:rsid w:val="00940CD5"/>
    <w:rsid w:val="00941304"/>
    <w:rsid w:val="00941F00"/>
    <w:rsid w:val="00944415"/>
    <w:rsid w:val="009468BA"/>
    <w:rsid w:val="00952E47"/>
    <w:rsid w:val="009535D2"/>
    <w:rsid w:val="00954010"/>
    <w:rsid w:val="00957569"/>
    <w:rsid w:val="00957AD4"/>
    <w:rsid w:val="00962EB4"/>
    <w:rsid w:val="009646EA"/>
    <w:rsid w:val="00964B8C"/>
    <w:rsid w:val="00966FF4"/>
    <w:rsid w:val="00971486"/>
    <w:rsid w:val="00973D57"/>
    <w:rsid w:val="009740B7"/>
    <w:rsid w:val="00974E0F"/>
    <w:rsid w:val="00976E56"/>
    <w:rsid w:val="009814A3"/>
    <w:rsid w:val="009823A4"/>
    <w:rsid w:val="009832E3"/>
    <w:rsid w:val="00986A3C"/>
    <w:rsid w:val="00990413"/>
    <w:rsid w:val="00990D38"/>
    <w:rsid w:val="00992F42"/>
    <w:rsid w:val="0099303F"/>
    <w:rsid w:val="009939CF"/>
    <w:rsid w:val="00996880"/>
    <w:rsid w:val="00997132"/>
    <w:rsid w:val="009A0CE1"/>
    <w:rsid w:val="009A2426"/>
    <w:rsid w:val="009A2DCD"/>
    <w:rsid w:val="009B48B0"/>
    <w:rsid w:val="009B4DF7"/>
    <w:rsid w:val="009B57B8"/>
    <w:rsid w:val="009B6D16"/>
    <w:rsid w:val="009C0E79"/>
    <w:rsid w:val="009C2837"/>
    <w:rsid w:val="009C2E96"/>
    <w:rsid w:val="009C3F34"/>
    <w:rsid w:val="009C5DA3"/>
    <w:rsid w:val="009D24C4"/>
    <w:rsid w:val="009D2897"/>
    <w:rsid w:val="009D697F"/>
    <w:rsid w:val="009D75FF"/>
    <w:rsid w:val="009E47B3"/>
    <w:rsid w:val="009E65F5"/>
    <w:rsid w:val="009E750B"/>
    <w:rsid w:val="009F0732"/>
    <w:rsid w:val="009F0C7E"/>
    <w:rsid w:val="009F35FE"/>
    <w:rsid w:val="009F385B"/>
    <w:rsid w:val="009F6D5C"/>
    <w:rsid w:val="009F6EA1"/>
    <w:rsid w:val="009F72A4"/>
    <w:rsid w:val="00A012F2"/>
    <w:rsid w:val="00A028C9"/>
    <w:rsid w:val="00A0619A"/>
    <w:rsid w:val="00A06C5D"/>
    <w:rsid w:val="00A115FF"/>
    <w:rsid w:val="00A11702"/>
    <w:rsid w:val="00A13ED1"/>
    <w:rsid w:val="00A140D4"/>
    <w:rsid w:val="00A14A79"/>
    <w:rsid w:val="00A16C4D"/>
    <w:rsid w:val="00A16E61"/>
    <w:rsid w:val="00A2571B"/>
    <w:rsid w:val="00A26041"/>
    <w:rsid w:val="00A263E8"/>
    <w:rsid w:val="00A3027C"/>
    <w:rsid w:val="00A30974"/>
    <w:rsid w:val="00A3349B"/>
    <w:rsid w:val="00A3743B"/>
    <w:rsid w:val="00A4007D"/>
    <w:rsid w:val="00A40EBD"/>
    <w:rsid w:val="00A42939"/>
    <w:rsid w:val="00A42E6D"/>
    <w:rsid w:val="00A43455"/>
    <w:rsid w:val="00A43470"/>
    <w:rsid w:val="00A50046"/>
    <w:rsid w:val="00A543E6"/>
    <w:rsid w:val="00A57268"/>
    <w:rsid w:val="00A57925"/>
    <w:rsid w:val="00A600C5"/>
    <w:rsid w:val="00A6135A"/>
    <w:rsid w:val="00A61A1A"/>
    <w:rsid w:val="00A62EE4"/>
    <w:rsid w:val="00A630E6"/>
    <w:rsid w:val="00A656EA"/>
    <w:rsid w:val="00A66A9A"/>
    <w:rsid w:val="00A67534"/>
    <w:rsid w:val="00A70E34"/>
    <w:rsid w:val="00A7275F"/>
    <w:rsid w:val="00A732B7"/>
    <w:rsid w:val="00A73CD1"/>
    <w:rsid w:val="00A74821"/>
    <w:rsid w:val="00A80F39"/>
    <w:rsid w:val="00A815AB"/>
    <w:rsid w:val="00A844B4"/>
    <w:rsid w:val="00A87D2B"/>
    <w:rsid w:val="00A92FB7"/>
    <w:rsid w:val="00A94113"/>
    <w:rsid w:val="00A941D3"/>
    <w:rsid w:val="00A9484A"/>
    <w:rsid w:val="00A9566E"/>
    <w:rsid w:val="00A95703"/>
    <w:rsid w:val="00A966AD"/>
    <w:rsid w:val="00AA031E"/>
    <w:rsid w:val="00AA217C"/>
    <w:rsid w:val="00AA54D7"/>
    <w:rsid w:val="00AA737F"/>
    <w:rsid w:val="00AB1F10"/>
    <w:rsid w:val="00AB6F19"/>
    <w:rsid w:val="00AB7C1D"/>
    <w:rsid w:val="00AC0801"/>
    <w:rsid w:val="00AC291D"/>
    <w:rsid w:val="00AC4740"/>
    <w:rsid w:val="00AC7511"/>
    <w:rsid w:val="00AD16DC"/>
    <w:rsid w:val="00AD24A9"/>
    <w:rsid w:val="00AD70C3"/>
    <w:rsid w:val="00AD7675"/>
    <w:rsid w:val="00AE1B7D"/>
    <w:rsid w:val="00AE7323"/>
    <w:rsid w:val="00AE75D9"/>
    <w:rsid w:val="00AF0AC8"/>
    <w:rsid w:val="00AF316A"/>
    <w:rsid w:val="00AF5333"/>
    <w:rsid w:val="00AF5D62"/>
    <w:rsid w:val="00AF612C"/>
    <w:rsid w:val="00B006C1"/>
    <w:rsid w:val="00B02B35"/>
    <w:rsid w:val="00B03ED9"/>
    <w:rsid w:val="00B10069"/>
    <w:rsid w:val="00B11AAE"/>
    <w:rsid w:val="00B11C14"/>
    <w:rsid w:val="00B21ACB"/>
    <w:rsid w:val="00B257E1"/>
    <w:rsid w:val="00B27DF4"/>
    <w:rsid w:val="00B3174B"/>
    <w:rsid w:val="00B325DC"/>
    <w:rsid w:val="00B33109"/>
    <w:rsid w:val="00B343D2"/>
    <w:rsid w:val="00B3701D"/>
    <w:rsid w:val="00B40CD5"/>
    <w:rsid w:val="00B40D0A"/>
    <w:rsid w:val="00B45BD3"/>
    <w:rsid w:val="00B51022"/>
    <w:rsid w:val="00B532C2"/>
    <w:rsid w:val="00B55AC0"/>
    <w:rsid w:val="00B66C36"/>
    <w:rsid w:val="00B71001"/>
    <w:rsid w:val="00B71440"/>
    <w:rsid w:val="00B72158"/>
    <w:rsid w:val="00B726AD"/>
    <w:rsid w:val="00B72CCA"/>
    <w:rsid w:val="00B73829"/>
    <w:rsid w:val="00B75208"/>
    <w:rsid w:val="00B765CA"/>
    <w:rsid w:val="00B77B06"/>
    <w:rsid w:val="00B838BF"/>
    <w:rsid w:val="00B84F79"/>
    <w:rsid w:val="00B86B03"/>
    <w:rsid w:val="00B90927"/>
    <w:rsid w:val="00B92B4A"/>
    <w:rsid w:val="00B935E8"/>
    <w:rsid w:val="00B951F0"/>
    <w:rsid w:val="00B955BE"/>
    <w:rsid w:val="00B95FC1"/>
    <w:rsid w:val="00BA1A41"/>
    <w:rsid w:val="00BA239D"/>
    <w:rsid w:val="00BA29CC"/>
    <w:rsid w:val="00BA3CA4"/>
    <w:rsid w:val="00BA61BA"/>
    <w:rsid w:val="00BA627C"/>
    <w:rsid w:val="00BB055F"/>
    <w:rsid w:val="00BB4068"/>
    <w:rsid w:val="00BB446B"/>
    <w:rsid w:val="00BB5B10"/>
    <w:rsid w:val="00BC1C5A"/>
    <w:rsid w:val="00BC1C6E"/>
    <w:rsid w:val="00BC2D72"/>
    <w:rsid w:val="00BC4393"/>
    <w:rsid w:val="00BC6651"/>
    <w:rsid w:val="00BC6A6D"/>
    <w:rsid w:val="00BD2DED"/>
    <w:rsid w:val="00BD35E1"/>
    <w:rsid w:val="00BD469D"/>
    <w:rsid w:val="00BD670A"/>
    <w:rsid w:val="00BE2A92"/>
    <w:rsid w:val="00BE5A33"/>
    <w:rsid w:val="00BF15C3"/>
    <w:rsid w:val="00BF1CA0"/>
    <w:rsid w:val="00BF3ECB"/>
    <w:rsid w:val="00BF5404"/>
    <w:rsid w:val="00BF793E"/>
    <w:rsid w:val="00C015BA"/>
    <w:rsid w:val="00C02BF4"/>
    <w:rsid w:val="00C06B85"/>
    <w:rsid w:val="00C0770D"/>
    <w:rsid w:val="00C1337E"/>
    <w:rsid w:val="00C16DE5"/>
    <w:rsid w:val="00C208A8"/>
    <w:rsid w:val="00C209A8"/>
    <w:rsid w:val="00C20F42"/>
    <w:rsid w:val="00C21816"/>
    <w:rsid w:val="00C218BA"/>
    <w:rsid w:val="00C222C2"/>
    <w:rsid w:val="00C25F57"/>
    <w:rsid w:val="00C263C7"/>
    <w:rsid w:val="00C26B15"/>
    <w:rsid w:val="00C278F8"/>
    <w:rsid w:val="00C3074C"/>
    <w:rsid w:val="00C332DE"/>
    <w:rsid w:val="00C34566"/>
    <w:rsid w:val="00C34750"/>
    <w:rsid w:val="00C36788"/>
    <w:rsid w:val="00C36990"/>
    <w:rsid w:val="00C37840"/>
    <w:rsid w:val="00C37AFC"/>
    <w:rsid w:val="00C40D81"/>
    <w:rsid w:val="00C41447"/>
    <w:rsid w:val="00C4169E"/>
    <w:rsid w:val="00C454C4"/>
    <w:rsid w:val="00C471A6"/>
    <w:rsid w:val="00C5017B"/>
    <w:rsid w:val="00C5056D"/>
    <w:rsid w:val="00C52F04"/>
    <w:rsid w:val="00C53E8D"/>
    <w:rsid w:val="00C55909"/>
    <w:rsid w:val="00C663BB"/>
    <w:rsid w:val="00C66C95"/>
    <w:rsid w:val="00C7583B"/>
    <w:rsid w:val="00C76743"/>
    <w:rsid w:val="00C800BE"/>
    <w:rsid w:val="00C84EF4"/>
    <w:rsid w:val="00C8629E"/>
    <w:rsid w:val="00C904B8"/>
    <w:rsid w:val="00C91442"/>
    <w:rsid w:val="00C9381A"/>
    <w:rsid w:val="00C95EB4"/>
    <w:rsid w:val="00C97BCC"/>
    <w:rsid w:val="00CA3044"/>
    <w:rsid w:val="00CA525B"/>
    <w:rsid w:val="00CA6634"/>
    <w:rsid w:val="00CB1E94"/>
    <w:rsid w:val="00CB2158"/>
    <w:rsid w:val="00CB439C"/>
    <w:rsid w:val="00CC0577"/>
    <w:rsid w:val="00CC38CE"/>
    <w:rsid w:val="00CC4A96"/>
    <w:rsid w:val="00CC6167"/>
    <w:rsid w:val="00CC6A6F"/>
    <w:rsid w:val="00CD2D85"/>
    <w:rsid w:val="00CD6841"/>
    <w:rsid w:val="00CE5BBB"/>
    <w:rsid w:val="00CE5DF7"/>
    <w:rsid w:val="00CE5E53"/>
    <w:rsid w:val="00CE6479"/>
    <w:rsid w:val="00CF2CD4"/>
    <w:rsid w:val="00CF6087"/>
    <w:rsid w:val="00D00461"/>
    <w:rsid w:val="00D00B78"/>
    <w:rsid w:val="00D01E1C"/>
    <w:rsid w:val="00D03058"/>
    <w:rsid w:val="00D03441"/>
    <w:rsid w:val="00D10816"/>
    <w:rsid w:val="00D10B32"/>
    <w:rsid w:val="00D14368"/>
    <w:rsid w:val="00D16B6A"/>
    <w:rsid w:val="00D1702E"/>
    <w:rsid w:val="00D232E2"/>
    <w:rsid w:val="00D23EF2"/>
    <w:rsid w:val="00D24814"/>
    <w:rsid w:val="00D264EA"/>
    <w:rsid w:val="00D30925"/>
    <w:rsid w:val="00D30AA6"/>
    <w:rsid w:val="00D31492"/>
    <w:rsid w:val="00D31C68"/>
    <w:rsid w:val="00D32DF6"/>
    <w:rsid w:val="00D4131D"/>
    <w:rsid w:val="00D4161B"/>
    <w:rsid w:val="00D44354"/>
    <w:rsid w:val="00D44613"/>
    <w:rsid w:val="00D44AD6"/>
    <w:rsid w:val="00D469EF"/>
    <w:rsid w:val="00D47004"/>
    <w:rsid w:val="00D4736C"/>
    <w:rsid w:val="00D47B9D"/>
    <w:rsid w:val="00D47E02"/>
    <w:rsid w:val="00D5099C"/>
    <w:rsid w:val="00D51B93"/>
    <w:rsid w:val="00D5348B"/>
    <w:rsid w:val="00D53892"/>
    <w:rsid w:val="00D53D70"/>
    <w:rsid w:val="00D572F3"/>
    <w:rsid w:val="00D60C59"/>
    <w:rsid w:val="00D62F1C"/>
    <w:rsid w:val="00D63E94"/>
    <w:rsid w:val="00D6516D"/>
    <w:rsid w:val="00D65B89"/>
    <w:rsid w:val="00D66A6E"/>
    <w:rsid w:val="00D705E1"/>
    <w:rsid w:val="00D70FBE"/>
    <w:rsid w:val="00D73314"/>
    <w:rsid w:val="00D7610B"/>
    <w:rsid w:val="00D80E19"/>
    <w:rsid w:val="00D819BB"/>
    <w:rsid w:val="00D81DF8"/>
    <w:rsid w:val="00D81E2E"/>
    <w:rsid w:val="00D84010"/>
    <w:rsid w:val="00D852FC"/>
    <w:rsid w:val="00D85AC7"/>
    <w:rsid w:val="00D9304C"/>
    <w:rsid w:val="00D968E5"/>
    <w:rsid w:val="00DA4A7B"/>
    <w:rsid w:val="00DA54DB"/>
    <w:rsid w:val="00DA58D3"/>
    <w:rsid w:val="00DB0D4E"/>
    <w:rsid w:val="00DB1708"/>
    <w:rsid w:val="00DB4A6B"/>
    <w:rsid w:val="00DC0002"/>
    <w:rsid w:val="00DC0BE1"/>
    <w:rsid w:val="00DC10C4"/>
    <w:rsid w:val="00DC5029"/>
    <w:rsid w:val="00DC5743"/>
    <w:rsid w:val="00DC6C9C"/>
    <w:rsid w:val="00DD145D"/>
    <w:rsid w:val="00DD2E66"/>
    <w:rsid w:val="00DD5555"/>
    <w:rsid w:val="00DD7D6E"/>
    <w:rsid w:val="00DE02CB"/>
    <w:rsid w:val="00DE0969"/>
    <w:rsid w:val="00DE0C3E"/>
    <w:rsid w:val="00DE1A54"/>
    <w:rsid w:val="00DE1D27"/>
    <w:rsid w:val="00DE2B69"/>
    <w:rsid w:val="00DE559F"/>
    <w:rsid w:val="00DF0467"/>
    <w:rsid w:val="00DF0997"/>
    <w:rsid w:val="00DF241C"/>
    <w:rsid w:val="00DF2578"/>
    <w:rsid w:val="00DF37B0"/>
    <w:rsid w:val="00DF4698"/>
    <w:rsid w:val="00DF6000"/>
    <w:rsid w:val="00DF7B19"/>
    <w:rsid w:val="00E02125"/>
    <w:rsid w:val="00E105C9"/>
    <w:rsid w:val="00E116C0"/>
    <w:rsid w:val="00E11D0F"/>
    <w:rsid w:val="00E15480"/>
    <w:rsid w:val="00E15F78"/>
    <w:rsid w:val="00E16CE3"/>
    <w:rsid w:val="00E20B10"/>
    <w:rsid w:val="00E211D0"/>
    <w:rsid w:val="00E2532D"/>
    <w:rsid w:val="00E25AC9"/>
    <w:rsid w:val="00E3188F"/>
    <w:rsid w:val="00E32620"/>
    <w:rsid w:val="00E32EA2"/>
    <w:rsid w:val="00E36251"/>
    <w:rsid w:val="00E40255"/>
    <w:rsid w:val="00E44450"/>
    <w:rsid w:val="00E45377"/>
    <w:rsid w:val="00E45B22"/>
    <w:rsid w:val="00E4656E"/>
    <w:rsid w:val="00E5039D"/>
    <w:rsid w:val="00E50CD0"/>
    <w:rsid w:val="00E538E5"/>
    <w:rsid w:val="00E54D34"/>
    <w:rsid w:val="00E54EC3"/>
    <w:rsid w:val="00E5621D"/>
    <w:rsid w:val="00E5686A"/>
    <w:rsid w:val="00E57F5B"/>
    <w:rsid w:val="00E61FC3"/>
    <w:rsid w:val="00E6271C"/>
    <w:rsid w:val="00E63036"/>
    <w:rsid w:val="00E671AB"/>
    <w:rsid w:val="00E71752"/>
    <w:rsid w:val="00E77C08"/>
    <w:rsid w:val="00E77F80"/>
    <w:rsid w:val="00E807EB"/>
    <w:rsid w:val="00E8121A"/>
    <w:rsid w:val="00E82BAA"/>
    <w:rsid w:val="00E85D18"/>
    <w:rsid w:val="00E85DC0"/>
    <w:rsid w:val="00E90872"/>
    <w:rsid w:val="00E92AF8"/>
    <w:rsid w:val="00E95C45"/>
    <w:rsid w:val="00E95EED"/>
    <w:rsid w:val="00E97240"/>
    <w:rsid w:val="00EA04FE"/>
    <w:rsid w:val="00EA3F83"/>
    <w:rsid w:val="00EA4DFD"/>
    <w:rsid w:val="00EA6A15"/>
    <w:rsid w:val="00EB01D7"/>
    <w:rsid w:val="00EB1822"/>
    <w:rsid w:val="00EB1D79"/>
    <w:rsid w:val="00EC07B0"/>
    <w:rsid w:val="00EC42DA"/>
    <w:rsid w:val="00EC67E3"/>
    <w:rsid w:val="00EC7BC3"/>
    <w:rsid w:val="00ED0790"/>
    <w:rsid w:val="00ED220C"/>
    <w:rsid w:val="00ED39FE"/>
    <w:rsid w:val="00ED3C78"/>
    <w:rsid w:val="00ED4B39"/>
    <w:rsid w:val="00ED4EA2"/>
    <w:rsid w:val="00ED4F54"/>
    <w:rsid w:val="00ED6E35"/>
    <w:rsid w:val="00ED7255"/>
    <w:rsid w:val="00ED74AD"/>
    <w:rsid w:val="00EE7556"/>
    <w:rsid w:val="00EF5AA9"/>
    <w:rsid w:val="00EF5F52"/>
    <w:rsid w:val="00EF6EF7"/>
    <w:rsid w:val="00EF76A9"/>
    <w:rsid w:val="00EF7D7A"/>
    <w:rsid w:val="00F00B77"/>
    <w:rsid w:val="00F019B4"/>
    <w:rsid w:val="00F026BD"/>
    <w:rsid w:val="00F05F50"/>
    <w:rsid w:val="00F10036"/>
    <w:rsid w:val="00F11C61"/>
    <w:rsid w:val="00F1257B"/>
    <w:rsid w:val="00F127F5"/>
    <w:rsid w:val="00F12CBF"/>
    <w:rsid w:val="00F12F60"/>
    <w:rsid w:val="00F13DFD"/>
    <w:rsid w:val="00F14CDF"/>
    <w:rsid w:val="00F16A49"/>
    <w:rsid w:val="00F21019"/>
    <w:rsid w:val="00F21FE3"/>
    <w:rsid w:val="00F269C7"/>
    <w:rsid w:val="00F3037C"/>
    <w:rsid w:val="00F3165E"/>
    <w:rsid w:val="00F341A9"/>
    <w:rsid w:val="00F35E04"/>
    <w:rsid w:val="00F35FC3"/>
    <w:rsid w:val="00F36BEF"/>
    <w:rsid w:val="00F379B7"/>
    <w:rsid w:val="00F40174"/>
    <w:rsid w:val="00F41ED7"/>
    <w:rsid w:val="00F43C78"/>
    <w:rsid w:val="00F456E1"/>
    <w:rsid w:val="00F45EC1"/>
    <w:rsid w:val="00F47328"/>
    <w:rsid w:val="00F50DFB"/>
    <w:rsid w:val="00F538CF"/>
    <w:rsid w:val="00F550F0"/>
    <w:rsid w:val="00F55285"/>
    <w:rsid w:val="00F601BD"/>
    <w:rsid w:val="00F662B1"/>
    <w:rsid w:val="00F709D5"/>
    <w:rsid w:val="00F7159E"/>
    <w:rsid w:val="00F762A8"/>
    <w:rsid w:val="00F76E31"/>
    <w:rsid w:val="00F76FA5"/>
    <w:rsid w:val="00F77357"/>
    <w:rsid w:val="00F77815"/>
    <w:rsid w:val="00F8640F"/>
    <w:rsid w:val="00F86E67"/>
    <w:rsid w:val="00F9013D"/>
    <w:rsid w:val="00F97275"/>
    <w:rsid w:val="00FA0D80"/>
    <w:rsid w:val="00FA2729"/>
    <w:rsid w:val="00FA3CC7"/>
    <w:rsid w:val="00FA564B"/>
    <w:rsid w:val="00FA5873"/>
    <w:rsid w:val="00FA5944"/>
    <w:rsid w:val="00FA6C34"/>
    <w:rsid w:val="00FA6FAE"/>
    <w:rsid w:val="00FA7948"/>
    <w:rsid w:val="00FB1DF6"/>
    <w:rsid w:val="00FB23EC"/>
    <w:rsid w:val="00FB2E6D"/>
    <w:rsid w:val="00FB3717"/>
    <w:rsid w:val="00FC3094"/>
    <w:rsid w:val="00FC507F"/>
    <w:rsid w:val="00FC67DB"/>
    <w:rsid w:val="00FC7CC0"/>
    <w:rsid w:val="00FD0271"/>
    <w:rsid w:val="00FD0287"/>
    <w:rsid w:val="00FD0F98"/>
    <w:rsid w:val="00FD391D"/>
    <w:rsid w:val="00FD3B6C"/>
    <w:rsid w:val="00FD43CA"/>
    <w:rsid w:val="00FD6046"/>
    <w:rsid w:val="00FE0DA8"/>
    <w:rsid w:val="00FE10C1"/>
    <w:rsid w:val="00FE2E75"/>
    <w:rsid w:val="00FE35B9"/>
    <w:rsid w:val="00FE3F5C"/>
    <w:rsid w:val="00FF130A"/>
    <w:rsid w:val="00FF162D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39D6"/>
  <w15:docId w15:val="{FA111517-14CD-4F36-BB9B-AB9AE405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B1"/>
    <w:pPr>
      <w:tabs>
        <w:tab w:val="left" w:pos="3686"/>
        <w:tab w:val="left" w:pos="4536"/>
      </w:tabs>
    </w:pPr>
    <w:rPr>
      <w:rFonts w:ascii="Book Antiqua" w:hAnsi="Book Antiqua" w:cs="Arial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E5C74"/>
    <w:pPr>
      <w:outlineLvl w:val="0"/>
    </w:pPr>
    <w:rPr>
      <w:rFonts w:ascii="Arial" w:hAnsi="Arial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40F6B"/>
    <w:pPr>
      <w:keepNext/>
      <w:keepLines/>
      <w:outlineLvl w:val="1"/>
    </w:pPr>
    <w:rPr>
      <w:rFonts w:ascii="Arial" w:eastAsiaTheme="majorEastAsia" w:hAnsi="Arial" w:cstheme="majorBidi"/>
      <w:b/>
      <w:bCs/>
      <w:sz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04446"/>
    <w:pPr>
      <w:tabs>
        <w:tab w:val="clear" w:pos="3686"/>
      </w:tabs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12654"/>
  </w:style>
  <w:style w:type="paragraph" w:styleId="Sidfot">
    <w:name w:val="footer"/>
    <w:basedOn w:val="Normal"/>
    <w:link w:val="Sidfot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12654"/>
  </w:style>
  <w:style w:type="paragraph" w:styleId="Ballongtext">
    <w:name w:val="Balloon Text"/>
    <w:basedOn w:val="Normal"/>
    <w:link w:val="BallongtextChar"/>
    <w:uiPriority w:val="99"/>
    <w:semiHidden/>
    <w:unhideWhenUsed/>
    <w:rsid w:val="0091265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265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E5C74"/>
    <w:rPr>
      <w:rFonts w:ascii="Arial" w:hAnsi="Arial" w:cs="Arial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40F6B"/>
    <w:rPr>
      <w:rFonts w:ascii="Arial" w:eastAsiaTheme="majorEastAsia" w:hAnsi="Arial" w:cstheme="majorBidi"/>
      <w:b/>
      <w:bCs/>
      <w:sz w:val="28"/>
      <w:szCs w:val="24"/>
    </w:rPr>
  </w:style>
  <w:style w:type="character" w:styleId="Platshllartext">
    <w:name w:val="Placeholder Text"/>
    <w:basedOn w:val="Standardstycketeckensnitt"/>
    <w:uiPriority w:val="99"/>
    <w:semiHidden/>
    <w:rsid w:val="001F17B0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031B59"/>
    <w:rPr>
      <w:rFonts w:ascii="Arial" w:hAnsi="Arial"/>
      <w:sz w:val="28"/>
    </w:rPr>
  </w:style>
  <w:style w:type="character" w:customStyle="1" w:styleId="Formatmall2">
    <w:name w:val="Formatmall2"/>
    <w:basedOn w:val="Standardstycketeckensnitt"/>
    <w:uiPriority w:val="1"/>
    <w:rsid w:val="006849E8"/>
    <w:rPr>
      <w:rFonts w:ascii="Book Antiqua" w:hAnsi="Book Antiqua"/>
      <w:sz w:val="24"/>
    </w:rPr>
  </w:style>
  <w:style w:type="character" w:customStyle="1" w:styleId="Formatmall3">
    <w:name w:val="Formatmall3"/>
    <w:basedOn w:val="Standardstycketeckensnitt"/>
    <w:uiPriority w:val="1"/>
    <w:rsid w:val="006849E8"/>
    <w:rPr>
      <w:rFonts w:ascii="Book Antiqua" w:hAnsi="Book Antiqua"/>
      <w:sz w:val="20"/>
    </w:rPr>
  </w:style>
  <w:style w:type="character" w:customStyle="1" w:styleId="Formatmall4">
    <w:name w:val="Formatmall4"/>
    <w:basedOn w:val="Standardstycketeckensnitt"/>
    <w:uiPriority w:val="1"/>
    <w:rsid w:val="00DF37B0"/>
  </w:style>
  <w:style w:type="character" w:customStyle="1" w:styleId="Formatmall5">
    <w:name w:val="Formatmall5"/>
    <w:basedOn w:val="Standardstycketeckensnitt"/>
    <w:uiPriority w:val="1"/>
    <w:rsid w:val="00DF37B0"/>
    <w:rPr>
      <w:rFonts w:ascii="Book Antiqua" w:hAnsi="Book Antiqua"/>
      <w:sz w:val="24"/>
    </w:rPr>
  </w:style>
  <w:style w:type="paragraph" w:customStyle="1" w:styleId="Formatmall6">
    <w:name w:val="Formatmall6"/>
    <w:basedOn w:val="Normal"/>
    <w:link w:val="Formatmall6Char"/>
    <w:rsid w:val="00DF37B0"/>
  </w:style>
  <w:style w:type="character" w:customStyle="1" w:styleId="Formatmall6Char">
    <w:name w:val="Formatmall6 Char"/>
    <w:basedOn w:val="Standardstycketeckensnitt"/>
    <w:link w:val="Formatmall6"/>
    <w:rsid w:val="00DF37B0"/>
    <w:rPr>
      <w:rFonts w:ascii="Book Antiqua" w:hAnsi="Book Antiqua"/>
      <w:sz w:val="24"/>
    </w:rPr>
  </w:style>
  <w:style w:type="character" w:customStyle="1" w:styleId="Formatmall7">
    <w:name w:val="Formatmall7"/>
    <w:basedOn w:val="Standardstycketeckensnitt"/>
    <w:uiPriority w:val="1"/>
    <w:rsid w:val="00DE0969"/>
    <w:rPr>
      <w:rFonts w:ascii="Arial" w:hAnsi="Arial"/>
      <w:sz w:val="20"/>
    </w:rPr>
  </w:style>
  <w:style w:type="paragraph" w:customStyle="1" w:styleId="Formatmall8">
    <w:name w:val="Formatmall8"/>
    <w:basedOn w:val="Normal"/>
    <w:link w:val="Formatmall8Char"/>
    <w:rsid w:val="00C208A8"/>
  </w:style>
  <w:style w:type="character" w:customStyle="1" w:styleId="Formatmall8Char">
    <w:name w:val="Formatmall8 Char"/>
    <w:basedOn w:val="Standardstycketeckensnitt"/>
    <w:link w:val="Formatmall8"/>
    <w:rsid w:val="00C208A8"/>
    <w:rPr>
      <w:rFonts w:ascii="Book Antiqua" w:hAnsi="Book Antiqua"/>
      <w:sz w:val="24"/>
    </w:rPr>
  </w:style>
  <w:style w:type="paragraph" w:customStyle="1" w:styleId="Formatmall9">
    <w:name w:val="Formatmall9"/>
    <w:basedOn w:val="Normal"/>
    <w:link w:val="Formatmall9Char"/>
    <w:rsid w:val="003623A4"/>
  </w:style>
  <w:style w:type="character" w:customStyle="1" w:styleId="Formatmall9Char">
    <w:name w:val="Formatmall9 Char"/>
    <w:basedOn w:val="Standardstycketeckensnitt"/>
    <w:link w:val="Formatmall9"/>
    <w:rsid w:val="003623A4"/>
    <w:rPr>
      <w:rFonts w:ascii="Book Antiqua" w:hAnsi="Book Antiqua"/>
      <w:sz w:val="24"/>
    </w:rPr>
  </w:style>
  <w:style w:type="character" w:customStyle="1" w:styleId="Formatmall10">
    <w:name w:val="Formatmall10"/>
    <w:basedOn w:val="Standardstycketeckensnitt"/>
    <w:uiPriority w:val="1"/>
    <w:rsid w:val="008C4C80"/>
    <w:rPr>
      <w:rFonts w:ascii="Book Antiqua" w:hAnsi="Book Antiqua"/>
      <w:sz w:val="24"/>
    </w:rPr>
  </w:style>
  <w:style w:type="character" w:customStyle="1" w:styleId="Formatmall11">
    <w:name w:val="Formatmall11"/>
    <w:basedOn w:val="Standardstycketeckensnitt"/>
    <w:uiPriority w:val="1"/>
    <w:rsid w:val="00484385"/>
    <w:rPr>
      <w:rFonts w:ascii="Arial" w:hAnsi="Arial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904446"/>
    <w:rPr>
      <w:rFonts w:ascii="Arial" w:hAnsi="Arial" w:cs="Arial"/>
      <w:b/>
      <w:sz w:val="24"/>
      <w:szCs w:val="24"/>
    </w:rPr>
  </w:style>
  <w:style w:type="character" w:customStyle="1" w:styleId="A1">
    <w:name w:val="A1"/>
    <w:uiPriority w:val="99"/>
    <w:rsid w:val="000E5C74"/>
    <w:rPr>
      <w:rFonts w:cs="TradeGothic Light"/>
      <w:color w:val="000000"/>
      <w:sz w:val="62"/>
      <w:szCs w:val="62"/>
    </w:rPr>
  </w:style>
  <w:style w:type="paragraph" w:styleId="Ingetavstnd">
    <w:name w:val="No Spacing"/>
    <w:uiPriority w:val="1"/>
    <w:qFormat/>
    <w:rsid w:val="003C37F3"/>
    <w:pPr>
      <w:tabs>
        <w:tab w:val="left" w:pos="3686"/>
        <w:tab w:val="left" w:pos="4536"/>
      </w:tabs>
      <w:jc w:val="center"/>
    </w:pPr>
    <w:rPr>
      <w:rFonts w:ascii="Arial" w:hAnsi="Arial" w:cs="Arial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A656E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56EA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A656EA"/>
    <w:rPr>
      <w:color w:val="800080" w:themeColor="followed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E1B7D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E1B7D"/>
    <w:rPr>
      <w:rFonts w:ascii="Book Antiqua" w:hAnsi="Book Antiqua" w:cs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E1B7D"/>
    <w:rPr>
      <w:vertAlign w:val="superscript"/>
    </w:rPr>
  </w:style>
  <w:style w:type="paragraph" w:styleId="Liststycke">
    <w:name w:val="List Paragraph"/>
    <w:basedOn w:val="Normal"/>
    <w:uiPriority w:val="34"/>
    <w:qFormat/>
    <w:rsid w:val="004E682C"/>
    <w:pPr>
      <w:ind w:left="720"/>
      <w:contextualSpacing/>
    </w:pPr>
  </w:style>
  <w:style w:type="paragraph" w:customStyle="1" w:styleId="Default">
    <w:name w:val="Default"/>
    <w:rsid w:val="00146F13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323A4D"/>
    <w:pPr>
      <w:tabs>
        <w:tab w:val="clear" w:pos="3686"/>
        <w:tab w:val="clear" w:pos="4536"/>
      </w:tabs>
    </w:pPr>
    <w:rPr>
      <w:rFonts w:ascii="Calibri" w:hAnsi="Calibri" w:cs="Calibri"/>
      <w:sz w:val="22"/>
      <w:szCs w:val="22"/>
      <w:lang w:eastAsia="sv-SE"/>
    </w:rPr>
  </w:style>
  <w:style w:type="paragraph" w:customStyle="1" w:styleId="elementtoproof">
    <w:name w:val="elementtoproof"/>
    <w:basedOn w:val="Normal"/>
    <w:uiPriority w:val="99"/>
    <w:semiHidden/>
    <w:rsid w:val="00323A4D"/>
    <w:pPr>
      <w:tabs>
        <w:tab w:val="clear" w:pos="3686"/>
        <w:tab w:val="clear" w:pos="4536"/>
      </w:tabs>
    </w:pPr>
    <w:rPr>
      <w:rFonts w:ascii="Calibri" w:hAnsi="Calibri" w:cs="Calibri"/>
      <w:sz w:val="22"/>
      <w:szCs w:val="22"/>
      <w:lang w:eastAsia="sv-SE"/>
    </w:rPr>
  </w:style>
  <w:style w:type="character" w:styleId="Slutnotsreferens">
    <w:name w:val="endnote reference"/>
    <w:basedOn w:val="Standardstycketeckensnitt"/>
    <w:uiPriority w:val="99"/>
    <w:unhideWhenUsed/>
    <w:rsid w:val="00D469EF"/>
    <w:rPr>
      <w:vertAlign w:val="superscript"/>
    </w:rPr>
  </w:style>
  <w:style w:type="paragraph" w:customStyle="1" w:styleId="xelementtoproof">
    <w:name w:val="x_elementtoproof"/>
    <w:basedOn w:val="Normal"/>
    <w:uiPriority w:val="99"/>
    <w:semiHidden/>
    <w:rsid w:val="00A600C5"/>
    <w:pPr>
      <w:tabs>
        <w:tab w:val="clear" w:pos="3686"/>
        <w:tab w:val="clear" w:pos="4536"/>
      </w:tabs>
    </w:pPr>
    <w:rPr>
      <w:rFonts w:ascii="Calibri" w:hAnsi="Calibri" w:cs="Calibri"/>
      <w:sz w:val="22"/>
      <w:szCs w:val="22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7482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7482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74821"/>
    <w:rPr>
      <w:rFonts w:ascii="Book Antiqua" w:hAnsi="Book Antiqua" w:cs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7482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74821"/>
    <w:rPr>
      <w:rFonts w:ascii="Book Antiqua" w:hAnsi="Book Antiqua" w:cs="Arial"/>
      <w:b/>
      <w:bCs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BC1C5A"/>
    <w:pPr>
      <w:tabs>
        <w:tab w:val="clear" w:pos="3686"/>
        <w:tab w:val="clear" w:pos="4536"/>
      </w:tabs>
      <w:spacing w:after="280" w:line="276" w:lineRule="auto"/>
    </w:pPr>
    <w:rPr>
      <w:rFonts w:ascii="Calibri" w:hAnsi="Calibri" w:cs="Calibr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uiPriority w:val="99"/>
    <w:rsid w:val="00BC1C5A"/>
    <w:rPr>
      <w:rFonts w:ascii="Calibri" w:hAnsi="Calibri" w:cs="Calibri"/>
      <w:sz w:val="25"/>
      <w:szCs w:val="25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771F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771FB"/>
    <w:rPr>
      <w:rFonts w:ascii="Book Antiqua" w:hAnsi="Book Antiqu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i.ba.eu@regeringskansliet.s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i.remissvar@regeringskansliet.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a.ahlgren@funktionsratt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social/main.jsp?catId=1202" TargetMode="External"/><Relationship Id="rId7" Type="http://schemas.openxmlformats.org/officeDocument/2006/relationships/hyperlink" Target="https://funktionsratt.se/wp-content/uploads/2024/04/Funktionsratt-Sverige-bidrag-till-nationella-reformprogrammet-2024.docx" TargetMode="External"/><Relationship Id="rId2" Type="http://schemas.openxmlformats.org/officeDocument/2006/relationships/hyperlink" Target="https://www.mfd.se/material/publikationer/fns-konvention-och-allmanna-kommentar/allman-kommentar-nr-2-om-artikel-9-tillganglighet/" TargetMode="External"/><Relationship Id="rId1" Type="http://schemas.openxmlformats.org/officeDocument/2006/relationships/hyperlink" Target="https://fra.europa.eu/en/publication/2023/eu-funds" TargetMode="External"/><Relationship Id="rId6" Type="http://schemas.openxmlformats.org/officeDocument/2006/relationships/hyperlink" Target="https://funktionsratt.se/funktionsratt-ratten-att-fungera-i-samhallet-pa-lika-villkor/manskliga-rattigheter/funktionsrattskonventionen/aktivinvolvering/" TargetMode="External"/><Relationship Id="rId5" Type="http://schemas.openxmlformats.org/officeDocument/2006/relationships/hyperlink" Target="https://funktionsratt.se/wp-content/uploads/2023/01/Skrivelse-Regionalfonden-funktionsratt-tillganglighet-januari-2023.pdf" TargetMode="External"/><Relationship Id="rId4" Type="http://schemas.openxmlformats.org/officeDocument/2006/relationships/hyperlink" Target="https://www.edf-feph.org/energy-performance-of-buildings-directive-first-eu-legislation-to-address-accessibility-of-building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funktionsratt.s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etaS&#246;der\OneDrive%20-%20Funktionsr&#228;tt\Skrivbordet\P&#229;gende%20remissvar\MALL%20Remissvar%20(180207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0" ma:contentTypeDescription="Skapa ett nytt dokument." ma:contentTypeScope="" ma:versionID="e3f8eb27deae3acc1c61163fb6b441b0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09df94bc784132984584fff12344cd5e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30642-fa2f-414a-9a18-777ac9862fba" xsi:nil="true"/>
    <TaxKeywordTaxHTField xmlns="67d30642-fa2f-414a-9a18-777ac9862fba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7A6CB2FC-19F4-4851-8548-D5E9AD953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A998D-D891-4AE2-A098-A07002624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84CB2D-6FCF-40E8-B7E4-2CDB5C5155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2C79F6-A1AC-445A-A1BA-C0CB09466E29}">
  <ds:schemaRefs>
    <ds:schemaRef ds:uri="http://schemas.microsoft.com/office/2006/metadata/properties"/>
    <ds:schemaRef ds:uri="http://schemas.microsoft.com/office/infopath/2007/PartnerControls"/>
    <ds:schemaRef ds:uri="67d30642-fa2f-414a-9a18-777ac9862f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Remissvar (180207)</Template>
  <TotalTime>1951</TotalTime>
  <Pages>4</Pages>
  <Words>1126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HSO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Agneta Söder</dc:creator>
  <cp:lastModifiedBy>Mia Ahlgren</cp:lastModifiedBy>
  <cp:revision>240</cp:revision>
  <cp:lastPrinted>2024-07-01T14:34:00Z</cp:lastPrinted>
  <dcterms:created xsi:type="dcterms:W3CDTF">2024-04-15T07:33:00Z</dcterms:created>
  <dcterms:modified xsi:type="dcterms:W3CDTF">2024-07-01T14:34:00Z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Order">
    <vt:r8>3200000</vt:r8>
  </property>
</Properties>
</file>