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B0728" w14:textId="01AA4E28" w:rsidR="007F2721" w:rsidRPr="006D075D" w:rsidRDefault="007F2721" w:rsidP="0040597E">
      <w:pPr>
        <w:pStyle w:val="Rubrik1"/>
        <w:rPr>
          <w:lang w:val="sv-SE"/>
        </w:rPr>
      </w:pPr>
      <w:r w:rsidRPr="006D075D">
        <w:rPr>
          <w:lang w:val="sv-SE"/>
        </w:rPr>
        <w:t xml:space="preserve">Sammanfattning av frågor och svar </w:t>
      </w:r>
      <w:r w:rsidR="00A10C06">
        <w:rPr>
          <w:lang w:val="sv-SE"/>
        </w:rPr>
        <w:t>i samband med</w:t>
      </w:r>
      <w:r w:rsidRPr="006D075D">
        <w:rPr>
          <w:lang w:val="sv-SE"/>
        </w:rPr>
        <w:t xml:space="preserve"> Rundabordssamtal om Digital Tillgänglighet i Upphandling</w:t>
      </w:r>
      <w:r w:rsidR="00C53587">
        <w:rPr>
          <w:lang w:val="sv-SE"/>
        </w:rPr>
        <w:t xml:space="preserve"> </w:t>
      </w:r>
      <w:r w:rsidR="00A10C06">
        <w:rPr>
          <w:lang w:val="sv-SE"/>
        </w:rPr>
        <w:t xml:space="preserve">som genomfördes </w:t>
      </w:r>
      <w:r w:rsidR="00C53587">
        <w:rPr>
          <w:lang w:val="sv-SE"/>
        </w:rPr>
        <w:t>2021-01-28</w:t>
      </w:r>
    </w:p>
    <w:p w14:paraId="62D74F3E" w14:textId="77777777" w:rsidR="007F2721" w:rsidRDefault="007F2721" w:rsidP="006426E2">
      <w:pPr>
        <w:pStyle w:val="Rubrik3"/>
        <w:rPr>
          <w:lang w:val="sv-SE"/>
        </w:rPr>
      </w:pPr>
    </w:p>
    <w:p w14:paraId="2CBB2A81" w14:textId="77777777" w:rsidR="00FB103E" w:rsidRPr="00264EDA" w:rsidRDefault="00FB103E" w:rsidP="00FB103E">
      <w:pPr>
        <w:pStyle w:val="Rubrik3"/>
        <w:rPr>
          <w:lang w:val="sv-SE"/>
        </w:rPr>
      </w:pPr>
      <w:r>
        <w:rPr>
          <w:lang w:val="sv-SE"/>
        </w:rPr>
        <w:t>Fråga om v</w:t>
      </w:r>
      <w:r w:rsidRPr="00264EDA">
        <w:rPr>
          <w:lang w:val="sv-SE"/>
        </w:rPr>
        <w:t>ad är tröskelvärdet</w:t>
      </w:r>
      <w:r>
        <w:rPr>
          <w:lang w:val="sv-SE"/>
        </w:rPr>
        <w:t xml:space="preserve"> är</w:t>
      </w:r>
      <w:r w:rsidRPr="00264EDA">
        <w:rPr>
          <w:lang w:val="sv-SE"/>
        </w:rPr>
        <w:t>?</w:t>
      </w:r>
    </w:p>
    <w:p w14:paraId="235A6B29" w14:textId="77777777" w:rsidR="00FB103E" w:rsidRDefault="00FB103E" w:rsidP="00FB103E">
      <w:pPr>
        <w:rPr>
          <w:lang w:val="sv-SE"/>
        </w:rPr>
      </w:pPr>
      <w:r w:rsidRPr="00264EDA">
        <w:rPr>
          <w:lang w:val="sv-SE"/>
        </w:rPr>
        <w:t xml:space="preserve">Huvudregeln </w:t>
      </w:r>
      <w:r>
        <w:rPr>
          <w:lang w:val="sv-SE"/>
        </w:rPr>
        <w:t xml:space="preserve">i lagen </w:t>
      </w:r>
      <w:r w:rsidRPr="00264EDA">
        <w:rPr>
          <w:lang w:val="sv-SE"/>
        </w:rPr>
        <w:t>är att krav på tillgänglighet ska ställas</w:t>
      </w:r>
      <w:r>
        <w:rPr>
          <w:lang w:val="sv-SE"/>
        </w:rPr>
        <w:t xml:space="preserve"> över tröskelvärdet</w:t>
      </w:r>
      <w:r w:rsidRPr="00264EDA">
        <w:rPr>
          <w:lang w:val="sv-SE"/>
        </w:rPr>
        <w:t>. Det krävs särskilda motiverade skäl om undantag ska användas.</w:t>
      </w:r>
      <w:r>
        <w:rPr>
          <w:lang w:val="sv-SE"/>
        </w:rPr>
        <w:t xml:space="preserve"> </w:t>
      </w:r>
    </w:p>
    <w:p w14:paraId="5ECDC4A2" w14:textId="77777777" w:rsidR="00FB103E" w:rsidRPr="00DE5680" w:rsidRDefault="00FB103E" w:rsidP="00FB103E">
      <w:pPr>
        <w:rPr>
          <w:lang w:val="sv-SE"/>
        </w:rPr>
      </w:pPr>
      <w:r w:rsidRPr="00DE5680">
        <w:rPr>
          <w:lang w:val="sv-SE"/>
        </w:rPr>
        <w:t>Info</w:t>
      </w:r>
      <w:r>
        <w:rPr>
          <w:lang w:val="sv-SE"/>
        </w:rPr>
        <w:t>rmation om vad tröskelvärdet är</w:t>
      </w:r>
      <w:r w:rsidRPr="00DE5680">
        <w:rPr>
          <w:lang w:val="sv-SE"/>
        </w:rPr>
        <w:t xml:space="preserve"> </w:t>
      </w:r>
      <w:hyperlink r:id="rId4" w:history="1">
        <w:r w:rsidRPr="00DE5680">
          <w:rPr>
            <w:rStyle w:val="Hyperlnk"/>
            <w:lang w:val="sv-SE"/>
          </w:rPr>
          <w:t>https://www.upphandlingsmyndigheten.se/regler-och-lagstiftning/troskelvarden-och-direktupphandlingsgranser/</w:t>
        </w:r>
      </w:hyperlink>
      <w:r w:rsidRPr="00DE5680">
        <w:rPr>
          <w:lang w:val="sv-SE"/>
        </w:rPr>
        <w:t xml:space="preserve"> </w:t>
      </w:r>
    </w:p>
    <w:p w14:paraId="075C5FEA" w14:textId="0D2AAF83" w:rsidR="0040597E" w:rsidRPr="00F876B1" w:rsidRDefault="0040597E" w:rsidP="006426E2">
      <w:pPr>
        <w:pStyle w:val="Rubrik3"/>
        <w:rPr>
          <w:bCs/>
          <w:lang w:val="sv-SE"/>
        </w:rPr>
      </w:pPr>
      <w:r w:rsidRPr="00F876B1">
        <w:rPr>
          <w:bCs/>
          <w:lang w:val="sv-SE"/>
        </w:rPr>
        <w:t xml:space="preserve">Är det tydligt från myndigheten att kraven på </w:t>
      </w:r>
      <w:r w:rsidR="00605D5E" w:rsidRPr="00F876B1">
        <w:rPr>
          <w:bCs/>
          <w:lang w:val="sv-SE"/>
        </w:rPr>
        <w:t>tillgänglighet</w:t>
      </w:r>
      <w:r w:rsidRPr="00F876B1">
        <w:rPr>
          <w:bCs/>
          <w:lang w:val="sv-SE"/>
        </w:rPr>
        <w:t xml:space="preserve"> även får ställas under tröskelvärdet? Tänker att det lätt annars blir fokus på just tröskelvärdet inte att öka tillgängligheten…</w:t>
      </w:r>
    </w:p>
    <w:p w14:paraId="7DD853FE" w14:textId="73974727" w:rsidR="0040597E" w:rsidRPr="00264EDA" w:rsidRDefault="0040597E" w:rsidP="0040597E">
      <w:pPr>
        <w:rPr>
          <w:lang w:val="sv-SE"/>
        </w:rPr>
      </w:pPr>
      <w:r w:rsidRPr="00264EDA">
        <w:rPr>
          <w:lang w:val="sv-SE"/>
        </w:rPr>
        <w:t>Svar från Upphandlingsmyndigheten</w:t>
      </w:r>
    </w:p>
    <w:p w14:paraId="6F1B3C1E" w14:textId="3BA32A67" w:rsidR="0040597E" w:rsidRPr="007F2721" w:rsidRDefault="00510765" w:rsidP="0040597E">
      <w:pPr>
        <w:rPr>
          <w:lang w:val="sv-SE"/>
        </w:rPr>
      </w:pPr>
      <w:r w:rsidRPr="00264EDA">
        <w:rPr>
          <w:lang w:val="sv-SE"/>
        </w:rPr>
        <w:t xml:space="preserve">Det framgår uttryckligen i </w:t>
      </w:r>
      <w:hyperlink r:id="rId5" w:history="1">
        <w:r w:rsidRPr="00264EDA">
          <w:rPr>
            <w:rStyle w:val="Hyperlnk"/>
            <w:lang w:val="sv-SE"/>
          </w:rPr>
          <w:t>vårt webbstöd</w:t>
        </w:r>
      </w:hyperlink>
      <w:r w:rsidRPr="00264EDA">
        <w:rPr>
          <w:lang w:val="sv-SE"/>
        </w:rPr>
        <w:t xml:space="preserve"> och i vår checklista att krav får ställas även i upphandlingar under tröskelvärdet. </w:t>
      </w:r>
      <w:r w:rsidR="0040597E" w:rsidRPr="00264EDA">
        <w:rPr>
          <w:lang w:val="sv-SE"/>
        </w:rPr>
        <w:t>En upphandlande myndighet eller enhet har stor frihet att själva formulera de krav som ska ställas på det som upphandlas, så länge de grundläggande upphandlingsprinciperna följs. Så det är möjligt att ställa tillgänglighetskrav under tröskelvärdet.</w:t>
      </w:r>
    </w:p>
    <w:p w14:paraId="36916220" w14:textId="70111B12" w:rsidR="00F876B1" w:rsidRPr="00264EDA" w:rsidRDefault="006D075D" w:rsidP="0040597E">
      <w:pPr>
        <w:rPr>
          <w:lang w:val="sv-SE"/>
        </w:rPr>
      </w:pPr>
      <w:r w:rsidRPr="00264EDA">
        <w:rPr>
          <w:lang w:val="sv-SE"/>
        </w:rPr>
        <w:t>Upphandlande myndigheter är som utgångspunkt fria att utforma sin upphandling, samt avgöra vilka kvalifikationer som ska efterfrågas av anbudsgivarna, utefter myndighetens behov. Kraven måste dock alltid ha en koppling till kontraktsföremålet, vilket innebär att de ska avse och påverka just den efterfrågade tjänsten, produkten eller byggentreprenaden. Vidare ska kraven vara förenliga med de </w:t>
      </w:r>
      <w:hyperlink r:id="rId6" w:history="1">
        <w:r w:rsidRPr="00264EDA">
          <w:rPr>
            <w:rStyle w:val="Hyperlnk"/>
            <w:lang w:val="sv-SE"/>
          </w:rPr>
          <w:t>grundläggande upphandlingsprinciperna </w:t>
        </w:r>
      </w:hyperlink>
      <w:r w:rsidRPr="00264EDA">
        <w:rPr>
          <w:lang w:val="sv-SE"/>
        </w:rPr>
        <w:t>och däribland proportionalitetsprincipen.</w:t>
      </w:r>
    </w:p>
    <w:p w14:paraId="4C17CD89" w14:textId="77777777" w:rsidR="006D075D" w:rsidRPr="00264EDA" w:rsidRDefault="006D075D" w:rsidP="0040597E">
      <w:pPr>
        <w:rPr>
          <w:lang w:val="sv-SE"/>
        </w:rPr>
      </w:pPr>
      <w:r w:rsidRPr="00264EDA">
        <w:rPr>
          <w:lang w:val="sv-SE"/>
        </w:rPr>
        <w:t xml:space="preserve">Proportionalitetsprincipen innebär bland annat att upphandlande myndigheter inte får ställa högre krav på leverantören än vad som kan anses ändamålsenligt. En bedömning om ett visst krav är förenligt med proportionalitetsprincipen kan gå till på flera sätt men sker vanligen i tre steg. </w:t>
      </w:r>
    </w:p>
    <w:p w14:paraId="73A0BB07" w14:textId="177BB986" w:rsidR="006D075D" w:rsidRDefault="006D075D" w:rsidP="0040597E">
      <w:pPr>
        <w:rPr>
          <w:lang w:val="sv-SE"/>
        </w:rPr>
      </w:pPr>
      <w:r w:rsidRPr="00264EDA">
        <w:rPr>
          <w:lang w:val="sv-SE"/>
        </w:rPr>
        <w:t>Det första innefattar frågan om åtgärden är en lämplig och effektiv åtgärd för att tillgodose det avsedda ändamålet. Det andra steget utgörs av en prövning av om kravet är nödvändig för att uppnå det avsedda ändamålet. Till sist bedöms om den fördel som det allmänna vinner står i rimlig proportion till den skada som åtgärden förorsakar berörda enskilda intressen. Det får alltså inte finnas konkurrensbegränsade krav utan någon god anledning. För att avgöra vad som utgör ett proportionerligt krav måste en bedömning göras i det enskilda fallet.</w:t>
      </w:r>
    </w:p>
    <w:p w14:paraId="253ED85B" w14:textId="77777777" w:rsidR="00FB103E" w:rsidRPr="006426E2" w:rsidRDefault="00FB103E" w:rsidP="00FB103E">
      <w:pPr>
        <w:rPr>
          <w:b/>
          <w:bCs/>
          <w:lang w:val="sv-SE"/>
        </w:rPr>
      </w:pPr>
      <w:proofErr w:type="spellStart"/>
      <w:r w:rsidRPr="006426E2">
        <w:rPr>
          <w:b/>
          <w:bCs/>
          <w:lang w:val="sv-SE"/>
        </w:rPr>
        <w:lastRenderedPageBreak/>
        <w:t>Ima</w:t>
      </w:r>
      <w:proofErr w:type="spellEnd"/>
      <w:r w:rsidRPr="006426E2">
        <w:rPr>
          <w:b/>
          <w:bCs/>
          <w:lang w:val="sv-SE"/>
        </w:rPr>
        <w:t xml:space="preserve"> </w:t>
      </w:r>
      <w:proofErr w:type="spellStart"/>
      <w:r w:rsidRPr="006426E2">
        <w:rPr>
          <w:b/>
          <w:bCs/>
          <w:lang w:val="sv-SE"/>
        </w:rPr>
        <w:t>Placencia</w:t>
      </w:r>
      <w:proofErr w:type="spellEnd"/>
      <w:r w:rsidRPr="006426E2">
        <w:rPr>
          <w:b/>
          <w:bCs/>
          <w:lang w:val="sv-SE"/>
        </w:rPr>
        <w:t xml:space="preserve"> </w:t>
      </w:r>
      <w:proofErr w:type="spellStart"/>
      <w:r w:rsidRPr="006426E2">
        <w:rPr>
          <w:b/>
          <w:bCs/>
          <w:lang w:val="sv-SE"/>
        </w:rPr>
        <w:t>Porrero</w:t>
      </w:r>
      <w:proofErr w:type="spellEnd"/>
      <w:r w:rsidRPr="006426E2">
        <w:rPr>
          <w:b/>
          <w:bCs/>
          <w:lang w:val="sv-SE"/>
        </w:rPr>
        <w:t xml:space="preserve"> från EU-kommissionen</w:t>
      </w:r>
      <w:r>
        <w:rPr>
          <w:b/>
          <w:bCs/>
          <w:lang w:val="sv-SE"/>
        </w:rPr>
        <w:t xml:space="preserve"> tog i sin presentation upp möjligheten att ställa krav på tillgänglighet utöver kraven, genom att använda tilldelningskriterier (cirka 28 minuter in i presentationen). Hon nämnde att man kan gå utöver krav i standarder eller i bilaga till tillgänglighetsdirektivet genom att till exempel hänvisa till WCAG nivå AAA. Hon tog även upp fler exempel som handlade om krav på utförande, med koppling till standarden Tillgänglighet genom universell utformning, EN17161.</w:t>
      </w:r>
    </w:p>
    <w:p w14:paraId="68BD1896" w14:textId="77777777" w:rsidR="00FB103E" w:rsidRPr="00787547" w:rsidRDefault="00FB103E" w:rsidP="00FB103E">
      <w:pPr>
        <w:pStyle w:val="Rubrik3"/>
        <w:rPr>
          <w:lang w:val="sv-SE"/>
        </w:rPr>
      </w:pPr>
      <w:r w:rsidRPr="00787547">
        <w:rPr>
          <w:lang w:val="sv-SE"/>
        </w:rPr>
        <w:t>Fråg</w:t>
      </w:r>
      <w:r>
        <w:rPr>
          <w:lang w:val="sv-SE"/>
        </w:rPr>
        <w:t>a</w:t>
      </w:r>
      <w:r w:rsidRPr="00787547">
        <w:rPr>
          <w:lang w:val="sv-SE"/>
        </w:rPr>
        <w:t xml:space="preserve"> om att ta bort möjlighet till undantag i Upphandlingsdirektivet</w:t>
      </w:r>
    </w:p>
    <w:p w14:paraId="39652163" w14:textId="77777777" w:rsidR="00FB103E" w:rsidRPr="00264EDA" w:rsidRDefault="00FB103E" w:rsidP="00FB103E">
      <w:pPr>
        <w:rPr>
          <w:lang w:val="sv-SE"/>
        </w:rPr>
      </w:pPr>
      <w:r w:rsidRPr="00264EDA">
        <w:rPr>
          <w:lang w:val="sv-SE"/>
        </w:rPr>
        <w:t>Svar från Upphandlingsmyndigheten</w:t>
      </w:r>
    </w:p>
    <w:p w14:paraId="77BEA635" w14:textId="77777777" w:rsidR="00FB103E" w:rsidRPr="00264EDA" w:rsidRDefault="00FB103E" w:rsidP="00FB103E">
      <w:pPr>
        <w:rPr>
          <w:lang w:val="sv-SE"/>
        </w:rPr>
      </w:pPr>
      <w:r w:rsidRPr="00264EDA">
        <w:rPr>
          <w:lang w:val="sv-SE"/>
        </w:rPr>
        <w:t xml:space="preserve">Om en upphandlande myndighet ska genomföra en upphandling </w:t>
      </w:r>
      <w:hyperlink r:id="rId7" w:history="1">
        <w:r w:rsidRPr="00264EDA">
          <w:rPr>
            <w:rStyle w:val="Hyperlnk"/>
            <w:lang w:val="sv-SE"/>
          </w:rPr>
          <w:t>över tröskelvärdet</w:t>
        </w:r>
      </w:hyperlink>
      <w:r w:rsidRPr="00264EDA">
        <w:rPr>
          <w:lang w:val="sv-SE"/>
        </w:rPr>
        <w:t xml:space="preserve"> så ska de tekniska specifikationer som huvudregel bestämmas med beaktande av samtliga användares olika behov enligt 9 kap. 2 § första stycket LOU. Avsteg från första stycket får bara göras om det finns särskilda skäl enligt andra stycket. </w:t>
      </w:r>
    </w:p>
    <w:p w14:paraId="67FB37E3" w14:textId="77777777" w:rsidR="00FB103E" w:rsidRPr="00264EDA" w:rsidRDefault="00FB103E" w:rsidP="00FB103E">
      <w:pPr>
        <w:rPr>
          <w:lang w:val="sv-SE"/>
        </w:rPr>
      </w:pPr>
      <w:r w:rsidRPr="00264EDA">
        <w:rPr>
          <w:lang w:val="sv-SE"/>
        </w:rPr>
        <w:t xml:space="preserve">Om undantaget i artikel 42, direktiv 2014/24/EU (LOU-direktivet), som i svensk rätt har implementerats i 9 kap. 2 § andra stycket LOU, ska tas bort behöver direktivet ändras. Läs mer om hur en </w:t>
      </w:r>
      <w:hyperlink r:id="rId8" w:history="1">
        <w:r w:rsidRPr="00264EDA">
          <w:rPr>
            <w:rStyle w:val="Hyperlnk"/>
            <w:lang w:val="sv-SE"/>
          </w:rPr>
          <w:t>EU-lag blir till</w:t>
        </w:r>
      </w:hyperlink>
      <w:r w:rsidRPr="00264EDA">
        <w:rPr>
          <w:lang w:val="sv-SE"/>
        </w:rPr>
        <w:t xml:space="preserve"> på riksdagens hemsida.</w:t>
      </w:r>
    </w:p>
    <w:p w14:paraId="71A5A945" w14:textId="3C4650DE" w:rsidR="0040597E" w:rsidRPr="00F876B1" w:rsidRDefault="00F876B1" w:rsidP="006426E2">
      <w:pPr>
        <w:pStyle w:val="Rubrik3"/>
        <w:rPr>
          <w:b w:val="0"/>
          <w:lang w:val="sv-SE"/>
        </w:rPr>
      </w:pPr>
      <w:r w:rsidRPr="00F876B1">
        <w:rPr>
          <w:lang w:val="sv-SE"/>
        </w:rPr>
        <w:t xml:space="preserve">Fråga om </w:t>
      </w:r>
      <w:r w:rsidR="0040597E" w:rsidRPr="00F876B1">
        <w:rPr>
          <w:lang w:val="sv-SE"/>
        </w:rPr>
        <w:t>resonemanget kring att detta krav 9 kap inte gäller då det man ska köpa kostar under tröskelvärdet. Varför gör man det undantaget?</w:t>
      </w:r>
    </w:p>
    <w:p w14:paraId="66A526AE" w14:textId="3A88EC01" w:rsidR="0040597E" w:rsidRPr="00264EDA" w:rsidRDefault="00DE5680" w:rsidP="0040597E">
      <w:pPr>
        <w:rPr>
          <w:lang w:val="sv-SE"/>
        </w:rPr>
      </w:pPr>
      <w:r w:rsidRPr="00264EDA">
        <w:rPr>
          <w:lang w:val="sv-SE"/>
        </w:rPr>
        <w:t>Svar från Upphandlingsmyndigheten</w:t>
      </w:r>
    </w:p>
    <w:p w14:paraId="68C9DD24" w14:textId="22D4F33E" w:rsidR="0040597E" w:rsidRPr="00264EDA" w:rsidRDefault="0040597E" w:rsidP="0040597E">
      <w:pPr>
        <w:rPr>
          <w:lang w:val="sv-SE"/>
        </w:rPr>
      </w:pPr>
      <w:r w:rsidRPr="00264EDA">
        <w:rPr>
          <w:lang w:val="sv-SE"/>
        </w:rPr>
        <w:t xml:space="preserve">I </w:t>
      </w:r>
      <w:hyperlink r:id="rId9">
        <w:r w:rsidRPr="00264EDA">
          <w:rPr>
            <w:rStyle w:val="Hyperlnk"/>
            <w:lang w:val="sv-SE"/>
          </w:rPr>
          <w:t>propositionen</w:t>
        </w:r>
      </w:hyperlink>
      <w:r w:rsidR="000A4DD6" w:rsidRPr="00264EDA">
        <w:rPr>
          <w:lang w:val="sv-SE"/>
        </w:rPr>
        <w:t xml:space="preserve"> </w:t>
      </w:r>
      <w:r w:rsidR="003248D3" w:rsidRPr="00264EDA">
        <w:rPr>
          <w:lang w:val="sv-SE"/>
        </w:rPr>
        <w:t>(</w:t>
      </w:r>
      <w:r w:rsidR="000A4DD6" w:rsidRPr="00264EDA">
        <w:rPr>
          <w:lang w:val="sv-SE"/>
        </w:rPr>
        <w:t>2015/16:195</w:t>
      </w:r>
      <w:r w:rsidR="003248D3" w:rsidRPr="00264EDA">
        <w:rPr>
          <w:lang w:val="sv-SE"/>
        </w:rPr>
        <w:t>)</w:t>
      </w:r>
      <w:r w:rsidRPr="00264EDA">
        <w:rPr>
          <w:lang w:val="sv-SE"/>
        </w:rPr>
        <w:t xml:space="preserve"> till</w:t>
      </w:r>
      <w:r w:rsidR="000A4DD6" w:rsidRPr="00264EDA">
        <w:rPr>
          <w:lang w:val="sv-SE"/>
        </w:rPr>
        <w:t xml:space="preserve"> </w:t>
      </w:r>
      <w:r w:rsidRPr="00264EDA">
        <w:rPr>
          <w:lang w:val="sv-SE"/>
        </w:rPr>
        <w:t xml:space="preserve">LOU </w:t>
      </w:r>
      <w:r w:rsidR="003248D3" w:rsidRPr="00264EDA">
        <w:rPr>
          <w:lang w:val="sv-SE"/>
        </w:rPr>
        <w:t xml:space="preserve">på </w:t>
      </w:r>
      <w:r w:rsidRPr="00264EDA">
        <w:rPr>
          <w:lang w:val="sv-SE"/>
        </w:rPr>
        <w:t xml:space="preserve">sida </w:t>
      </w:r>
      <w:proofErr w:type="gramStart"/>
      <w:r w:rsidRPr="00264EDA">
        <w:rPr>
          <w:lang w:val="sv-SE"/>
        </w:rPr>
        <w:t>595 -596</w:t>
      </w:r>
      <w:proofErr w:type="gramEnd"/>
      <w:r w:rsidRPr="00264EDA">
        <w:rPr>
          <w:lang w:val="sv-SE"/>
        </w:rPr>
        <w:t xml:space="preserve"> går det att läsa hur regeringen resonerade. </w:t>
      </w:r>
      <w:r w:rsidR="00203831" w:rsidRPr="00264EDA">
        <w:rPr>
          <w:lang w:val="sv-SE"/>
        </w:rPr>
        <w:t xml:space="preserve">Nedan är ett utdrag från </w:t>
      </w:r>
      <w:r w:rsidR="00FA1EE0" w:rsidRPr="00264EDA">
        <w:rPr>
          <w:lang w:val="sv-SE"/>
        </w:rPr>
        <w:t>sida 596:</w:t>
      </w:r>
    </w:p>
    <w:p w14:paraId="538C9775" w14:textId="06F790CE" w:rsidR="00203831" w:rsidRPr="00203831" w:rsidRDefault="00FA1EE0" w:rsidP="0040597E">
      <w:pPr>
        <w:rPr>
          <w:lang w:val="sv-SE"/>
        </w:rPr>
      </w:pPr>
      <w:r w:rsidRPr="00264EDA">
        <w:rPr>
          <w:lang w:val="sv-SE"/>
        </w:rPr>
        <w:t>”</w:t>
      </w:r>
      <w:r w:rsidR="00203831" w:rsidRPr="00264EDA">
        <w:rPr>
          <w:lang w:val="sv-SE"/>
        </w:rPr>
        <w:t>Regeringen konstaterar emellertid att någon översyn av lagstiftningen på det icke direktivstyrda området inte är avsedd i det här lagstiftningsärendet och att endast nödvändiga förändringar med anledning av direktivet ska göras i lagstiftningen på det icke direktivstyrda området.</w:t>
      </w:r>
      <w:r w:rsidRPr="00264EDA">
        <w:rPr>
          <w:lang w:val="sv-SE"/>
        </w:rPr>
        <w:t>”</w:t>
      </w:r>
    </w:p>
    <w:p w14:paraId="3A0D6DD0" w14:textId="77777777" w:rsidR="00DE5680" w:rsidRPr="00EA7EFE" w:rsidRDefault="00DE5680" w:rsidP="006426E2">
      <w:pPr>
        <w:pStyle w:val="Rubrik3"/>
        <w:rPr>
          <w:lang w:val="sv-SE"/>
        </w:rPr>
      </w:pPr>
      <w:r w:rsidRPr="00EA7EFE">
        <w:rPr>
          <w:lang w:val="sv-SE"/>
        </w:rPr>
        <w:t xml:space="preserve">Fråga om hur många av de 47 procenten som </w:t>
      </w:r>
      <w:proofErr w:type="spellStart"/>
      <w:r w:rsidRPr="00EA7EFE">
        <w:rPr>
          <w:lang w:val="sv-SE"/>
        </w:rPr>
        <w:t>direktivupphandlar</w:t>
      </w:r>
      <w:proofErr w:type="spellEnd"/>
      <w:r w:rsidRPr="00EA7EFE">
        <w:rPr>
          <w:lang w:val="sv-SE"/>
        </w:rPr>
        <w:t xml:space="preserve"> som faktiskt ställer tillgänglighetskrav</w:t>
      </w:r>
    </w:p>
    <w:p w14:paraId="303AAA8B" w14:textId="77777777" w:rsidR="00DE5680" w:rsidRPr="007F2721" w:rsidRDefault="00DE5680" w:rsidP="00DE5680">
      <w:pPr>
        <w:rPr>
          <w:lang w:val="sv-SE"/>
        </w:rPr>
      </w:pPr>
      <w:r w:rsidRPr="00264EDA">
        <w:rPr>
          <w:lang w:val="sv-SE"/>
        </w:rPr>
        <w:t>Svar från Upphandlingsmyndigheten: Tyvärr saknas statistik. Vi har nyligen blivit statistikmyndighet så vi hoppas att kunna få bättre statistik framöver.</w:t>
      </w:r>
    </w:p>
    <w:p w14:paraId="45D2D8C6" w14:textId="28845A89" w:rsidR="0057440F" w:rsidRPr="0030210B" w:rsidRDefault="0057440F" w:rsidP="00FB103E">
      <w:pPr>
        <w:pStyle w:val="Rubrik3"/>
        <w:rPr>
          <w:lang w:val="sv-SE"/>
        </w:rPr>
      </w:pPr>
      <w:r w:rsidRPr="0030210B">
        <w:rPr>
          <w:lang w:val="sv-SE"/>
        </w:rPr>
        <w:t>Fråga om vad man gör när anbuden uteblir</w:t>
      </w:r>
      <w:r w:rsidR="00264EDA">
        <w:rPr>
          <w:lang w:val="sv-SE"/>
        </w:rPr>
        <w:t>?</w:t>
      </w:r>
    </w:p>
    <w:p w14:paraId="44D30F9A" w14:textId="77777777" w:rsidR="0057440F" w:rsidRPr="007F2721" w:rsidRDefault="0057440F" w:rsidP="0057440F">
      <w:pPr>
        <w:rPr>
          <w:lang w:val="sv-SE"/>
        </w:rPr>
      </w:pPr>
      <w:r>
        <w:rPr>
          <w:lang w:val="sv-SE"/>
        </w:rPr>
        <w:t>Svar från Upphandlingsmyndigheten</w:t>
      </w:r>
      <w:r w:rsidRPr="007F2721">
        <w:rPr>
          <w:lang w:val="sv-SE"/>
        </w:rPr>
        <w:t xml:space="preserve"> </w:t>
      </w:r>
    </w:p>
    <w:p w14:paraId="700A6175" w14:textId="77777777" w:rsidR="0057440F" w:rsidRPr="007F2721" w:rsidRDefault="0057440F" w:rsidP="0057440F">
      <w:pPr>
        <w:rPr>
          <w:lang w:val="sv-SE"/>
        </w:rPr>
      </w:pPr>
      <w:r w:rsidRPr="00264EDA">
        <w:rPr>
          <w:lang w:val="sv-SE"/>
        </w:rPr>
        <w:t xml:space="preserve">Om ni inte fått in några anbud har ni möjlighet att gå vidare på olika sätt. Först kan det vara bra att ha en dialog med de leverantörer som hämnat ner upphandlingsdokumenten och be om återkoppling om varför de valde att inte lämna anbud. En annan väg framåt är att ställa krav på tillgänglighet som särskilda kontraktsvillkor. Kontraktsvillkor behöver inte vara uppfyllda i samband med </w:t>
      </w:r>
      <w:r w:rsidRPr="00264EDA">
        <w:rPr>
          <w:lang w:val="sv-SE"/>
        </w:rPr>
        <w:lastRenderedPageBreak/>
        <w:t>anbudsgivningen utan kan istället uppfyllas senare, i samband med avtalsstart eller vid en senare tidpunkt. Det kan många gånger vara en lämplig lösning för att öka konkurrensen och öppna upp för fler små och medelstora företag att delta i upphandlingen.</w:t>
      </w:r>
    </w:p>
    <w:p w14:paraId="7C944C45" w14:textId="22A599C4" w:rsidR="00386B89" w:rsidRPr="009C3B90" w:rsidRDefault="006A6C10" w:rsidP="00FB103E">
      <w:pPr>
        <w:pStyle w:val="Rubrik3"/>
        <w:rPr>
          <w:lang w:val="sv-SE"/>
        </w:rPr>
      </w:pPr>
      <w:r w:rsidRPr="009C3B90">
        <w:rPr>
          <w:lang w:val="sv-SE"/>
        </w:rPr>
        <w:t>Fråga om anti-diskriminerings</w:t>
      </w:r>
      <w:r w:rsidR="009C3B90" w:rsidRPr="009C3B90">
        <w:rPr>
          <w:lang w:val="sv-SE"/>
        </w:rPr>
        <w:t>klausuler i avtal om upphandling</w:t>
      </w:r>
    </w:p>
    <w:p w14:paraId="72FB7DB0" w14:textId="19557119" w:rsidR="00FB103E" w:rsidRPr="00FB103E" w:rsidRDefault="00FB103E" w:rsidP="00386B89">
      <w:pPr>
        <w:rPr>
          <w:lang w:val="sv-SE"/>
        </w:rPr>
      </w:pPr>
      <w:r w:rsidRPr="00FB103E">
        <w:rPr>
          <w:lang w:val="sv-SE"/>
        </w:rPr>
        <w:t xml:space="preserve">Svar från G3ict i </w:t>
      </w:r>
      <w:r>
        <w:rPr>
          <w:lang w:val="sv-SE"/>
        </w:rPr>
        <w:t>skriftligt forum under samtalet.</w:t>
      </w:r>
    </w:p>
    <w:p w14:paraId="5E8F112C" w14:textId="33EBA8EF" w:rsidR="00386B89" w:rsidRPr="00FB103E" w:rsidRDefault="00FB103E" w:rsidP="00386B89">
      <w:r w:rsidRPr="00FB103E">
        <w:rPr>
          <w:lang w:val="sv-SE"/>
        </w:rPr>
        <w:t>När det gäller krav på tillgänglighetsstandarder i avtal, istället för anti-diskrimineringsklausuler, så har jag sett stater och andra organisationer (till exempel företag, universitet osv) som arbetar proaktivt med leverantörer för att skapa planer fö</w:t>
      </w:r>
      <w:r>
        <w:rPr>
          <w:lang w:val="sv-SE"/>
        </w:rPr>
        <w:t xml:space="preserve">r att möte alla tillgänglighetskrav som produkterna och tjänsterna inte når upp till. </w:t>
      </w:r>
      <w:r w:rsidRPr="00FB103E">
        <w:rPr>
          <w:lang w:val="en-GB"/>
        </w:rPr>
        <w:t>De</w:t>
      </w:r>
      <w:r>
        <w:rPr>
          <w:lang w:val="en-GB"/>
        </w:rPr>
        <w:t xml:space="preserve">t </w:t>
      </w:r>
      <w:proofErr w:type="spellStart"/>
      <w:r>
        <w:rPr>
          <w:lang w:val="en-GB"/>
        </w:rPr>
        <w:t>är</w:t>
      </w:r>
      <w:proofErr w:type="spellEnd"/>
      <w:r>
        <w:rPr>
          <w:lang w:val="en-GB"/>
        </w:rPr>
        <w:t xml:space="preserve"> </w:t>
      </w:r>
      <w:proofErr w:type="spellStart"/>
      <w:r>
        <w:rPr>
          <w:lang w:val="en-GB"/>
        </w:rPr>
        <w:t>ett</w:t>
      </w:r>
      <w:proofErr w:type="spellEnd"/>
      <w:r>
        <w:rPr>
          <w:lang w:val="en-GB"/>
        </w:rPr>
        <w:t xml:space="preserve"> </w:t>
      </w:r>
      <w:proofErr w:type="spellStart"/>
      <w:r>
        <w:rPr>
          <w:lang w:val="en-GB"/>
        </w:rPr>
        <w:t>proaktivt</w:t>
      </w:r>
      <w:proofErr w:type="spellEnd"/>
      <w:r>
        <w:rPr>
          <w:lang w:val="en-GB"/>
        </w:rPr>
        <w:t xml:space="preserve"> och </w:t>
      </w:r>
      <w:proofErr w:type="spellStart"/>
      <w:r>
        <w:rPr>
          <w:lang w:val="en-GB"/>
        </w:rPr>
        <w:t>produktivt</w:t>
      </w:r>
      <w:proofErr w:type="spellEnd"/>
      <w:r>
        <w:rPr>
          <w:lang w:val="en-GB"/>
        </w:rPr>
        <w:t xml:space="preserve"> </w:t>
      </w:r>
      <w:proofErr w:type="spellStart"/>
      <w:r>
        <w:rPr>
          <w:lang w:val="en-GB"/>
        </w:rPr>
        <w:t>angreppssätt</w:t>
      </w:r>
      <w:proofErr w:type="spellEnd"/>
      <w:r>
        <w:rPr>
          <w:lang w:val="en-GB"/>
        </w:rPr>
        <w:t xml:space="preserve">. </w:t>
      </w:r>
    </w:p>
    <w:p w14:paraId="69193815" w14:textId="13ABA004" w:rsidR="001179DB" w:rsidRPr="001179DB" w:rsidRDefault="001179DB" w:rsidP="00386B89">
      <w:pPr>
        <w:rPr>
          <w:lang w:val="sv-SE"/>
        </w:rPr>
      </w:pPr>
      <w:r w:rsidRPr="001179DB">
        <w:rPr>
          <w:lang w:val="sv-SE"/>
        </w:rPr>
        <w:t xml:space="preserve">Svar från </w:t>
      </w:r>
      <w:r w:rsidR="00264EDA">
        <w:rPr>
          <w:lang w:val="sv-SE"/>
        </w:rPr>
        <w:t>U</w:t>
      </w:r>
      <w:r w:rsidRPr="001179DB">
        <w:rPr>
          <w:lang w:val="sv-SE"/>
        </w:rPr>
        <w:t>pphandlingsmyndighet</w:t>
      </w:r>
      <w:r>
        <w:rPr>
          <w:lang w:val="sv-SE"/>
        </w:rPr>
        <w:t>en</w:t>
      </w:r>
    </w:p>
    <w:p w14:paraId="593FC72E" w14:textId="73FDD414" w:rsidR="001179DB" w:rsidRDefault="001179DB" w:rsidP="00386B89">
      <w:pPr>
        <w:rPr>
          <w:lang w:val="sv-SE"/>
        </w:rPr>
      </w:pPr>
      <w:r w:rsidRPr="00FB103E">
        <w:rPr>
          <w:lang w:val="sv-SE"/>
        </w:rPr>
        <w:t xml:space="preserve">Upphandlande myndigheter och enheter har möjlighet att bidra till lika rättigheter och möjligheter vid offentlig upphandling och att motverka diskriminering. En del statliga myndigheter är i vissa fall skyldiga att ställa särskilda villkor för att förhindra diskriminering hos leverantören. Läs mer om det på vår </w:t>
      </w:r>
      <w:hyperlink r:id="rId10" w:history="1">
        <w:r w:rsidRPr="00FB103E">
          <w:rPr>
            <w:rStyle w:val="Hyperlnk"/>
            <w:lang w:val="sv-SE"/>
          </w:rPr>
          <w:t>webbplats</w:t>
        </w:r>
      </w:hyperlink>
      <w:r w:rsidRPr="00FB103E">
        <w:rPr>
          <w:lang w:val="sv-SE"/>
        </w:rPr>
        <w:t xml:space="preserve">. Se även inlägget </w:t>
      </w:r>
      <w:hyperlink r:id="rId11" w:history="1">
        <w:r w:rsidRPr="00FB103E">
          <w:rPr>
            <w:rStyle w:val="Hyperlnk"/>
            <w:lang w:val="sv-SE"/>
          </w:rPr>
          <w:t>Får man ställa krav på att leverantörer ska ha ett visst kön?</w:t>
        </w:r>
      </w:hyperlink>
      <w:r w:rsidRPr="00FB103E">
        <w:rPr>
          <w:lang w:val="sv-SE"/>
        </w:rPr>
        <w:t xml:space="preserve"> i vår Frågeportal där vi diskutera om när antidiskrimineringsvillkor kan ställas i en upphandling.</w:t>
      </w:r>
    </w:p>
    <w:p w14:paraId="0D2DC2CB" w14:textId="4815036A" w:rsidR="00386B89" w:rsidRDefault="000634B8" w:rsidP="00FB103E">
      <w:pPr>
        <w:pStyle w:val="Rubrik3"/>
        <w:rPr>
          <w:lang w:val="sv-SE"/>
        </w:rPr>
      </w:pPr>
      <w:r w:rsidRPr="00B447B1">
        <w:rPr>
          <w:lang w:val="sv-SE"/>
        </w:rPr>
        <w:t xml:space="preserve">Fråga om </w:t>
      </w:r>
      <w:r w:rsidR="00B447B1" w:rsidRPr="00B447B1">
        <w:rPr>
          <w:lang w:val="sv-SE"/>
        </w:rPr>
        <w:t xml:space="preserve">tillgänglighet som en del av </w:t>
      </w:r>
      <w:r w:rsidRPr="00B447B1">
        <w:rPr>
          <w:lang w:val="sv-SE"/>
        </w:rPr>
        <w:t>hållbar upphandling</w:t>
      </w:r>
    </w:p>
    <w:p w14:paraId="6930CF26" w14:textId="4D05729A" w:rsidR="00FB103E" w:rsidRPr="00FB103E" w:rsidRDefault="00FB103E" w:rsidP="00FB103E">
      <w:pPr>
        <w:rPr>
          <w:b/>
          <w:bCs/>
          <w:lang w:val="sv-SE"/>
        </w:rPr>
      </w:pPr>
      <w:proofErr w:type="spellStart"/>
      <w:r w:rsidRPr="00FB103E">
        <w:rPr>
          <w:b/>
          <w:bCs/>
          <w:lang w:val="sv-SE"/>
        </w:rPr>
        <w:t>Ima</w:t>
      </w:r>
      <w:proofErr w:type="spellEnd"/>
      <w:r w:rsidRPr="00FB103E">
        <w:rPr>
          <w:b/>
          <w:bCs/>
          <w:lang w:val="sv-SE"/>
        </w:rPr>
        <w:t xml:space="preserve"> </w:t>
      </w:r>
      <w:proofErr w:type="spellStart"/>
      <w:r w:rsidRPr="00FB103E">
        <w:rPr>
          <w:b/>
          <w:bCs/>
          <w:lang w:val="sv-SE"/>
        </w:rPr>
        <w:t>Placencia</w:t>
      </w:r>
      <w:proofErr w:type="spellEnd"/>
      <w:r w:rsidRPr="00FB103E">
        <w:rPr>
          <w:b/>
          <w:bCs/>
          <w:lang w:val="sv-SE"/>
        </w:rPr>
        <w:t xml:space="preserve"> </w:t>
      </w:r>
      <w:proofErr w:type="spellStart"/>
      <w:r w:rsidRPr="00FB103E">
        <w:rPr>
          <w:b/>
          <w:bCs/>
          <w:lang w:val="sv-SE"/>
        </w:rPr>
        <w:t>Porrero</w:t>
      </w:r>
      <w:proofErr w:type="spellEnd"/>
      <w:r w:rsidRPr="00FB103E">
        <w:rPr>
          <w:b/>
          <w:bCs/>
          <w:lang w:val="sv-SE"/>
        </w:rPr>
        <w:t xml:space="preserve"> från EU-kommissionen berättade att kommissionen inom kort kommer att publicera en uppdaterad vägledning för Socialt ansvarsfull upphandling som kommer att ha med flera exempel som rör tillgänglighet.</w:t>
      </w:r>
    </w:p>
    <w:p w14:paraId="017EDB05" w14:textId="7B58A9C8" w:rsidR="00386B89" w:rsidRPr="00452AE5" w:rsidRDefault="00735E88" w:rsidP="00FB103E">
      <w:pPr>
        <w:pStyle w:val="Rubrik3"/>
        <w:rPr>
          <w:lang w:val="sv-SE"/>
        </w:rPr>
      </w:pPr>
      <w:r w:rsidRPr="00452AE5">
        <w:rPr>
          <w:lang w:val="sv-SE"/>
        </w:rPr>
        <w:t xml:space="preserve">Fråga om </w:t>
      </w:r>
      <w:r w:rsidR="00FB103E">
        <w:rPr>
          <w:lang w:val="sv-SE"/>
        </w:rPr>
        <w:t xml:space="preserve">hur man hittar </w:t>
      </w:r>
      <w:r w:rsidR="00C278E3" w:rsidRPr="00452AE5">
        <w:rPr>
          <w:lang w:val="sv-SE"/>
        </w:rPr>
        <w:t xml:space="preserve">tjänsten </w:t>
      </w:r>
      <w:r w:rsidRPr="00452AE5">
        <w:rPr>
          <w:lang w:val="sv-SE"/>
        </w:rPr>
        <w:t xml:space="preserve">Avancerat tal </w:t>
      </w:r>
      <w:r w:rsidR="00FB103E">
        <w:rPr>
          <w:lang w:val="sv-SE"/>
        </w:rPr>
        <w:t>som nämndes av Microsoft</w:t>
      </w:r>
    </w:p>
    <w:p w14:paraId="01646036" w14:textId="4CD9B58C" w:rsidR="00386B89" w:rsidRPr="007F2721" w:rsidRDefault="00FB103E" w:rsidP="00386B89">
      <w:pPr>
        <w:rPr>
          <w:lang w:val="sv-SE"/>
        </w:rPr>
      </w:pPr>
      <w:r>
        <w:rPr>
          <w:lang w:val="sv-SE"/>
        </w:rPr>
        <w:t>Svar i forumet från Microsoft med l</w:t>
      </w:r>
      <w:r w:rsidR="00C278E3">
        <w:rPr>
          <w:lang w:val="sv-SE"/>
        </w:rPr>
        <w:t>änk till tjänsten i</w:t>
      </w:r>
      <w:r w:rsidR="00386B89" w:rsidRPr="007F2721">
        <w:rPr>
          <w:lang w:val="sv-SE"/>
        </w:rPr>
        <w:t xml:space="preserve"> Teams</w:t>
      </w:r>
      <w:r w:rsidR="00C278E3">
        <w:rPr>
          <w:lang w:val="sv-SE"/>
        </w:rPr>
        <w:t xml:space="preserve"> </w:t>
      </w:r>
      <w:hyperlink r:id="rId12" w:history="1">
        <w:r w:rsidR="00C278E3" w:rsidRPr="00BB735C">
          <w:rPr>
            <w:rStyle w:val="Hyperlnk"/>
            <w:lang w:val="sv-SE"/>
          </w:rPr>
          <w:t>https://support.microsoft.com/sv-se/office/anv%c3%a4nda-avancerad-l%c3%a4sare-i-microsoft-teams-a700c0d0-bc53-4696-a94d-4fbc86ac7a9a?ui=sv-SE&amp;rs=sv-SE&amp;ad=SE</w:t>
        </w:r>
      </w:hyperlink>
      <w:r w:rsidR="00C278E3">
        <w:rPr>
          <w:lang w:val="sv-SE"/>
        </w:rPr>
        <w:t xml:space="preserve"> </w:t>
      </w:r>
    </w:p>
    <w:p w14:paraId="70D6411D" w14:textId="282E86B3" w:rsidR="00452AE5" w:rsidRDefault="00FB103E" w:rsidP="00386B89">
      <w:pPr>
        <w:rPr>
          <w:lang w:val="sv-SE"/>
        </w:rPr>
      </w:pPr>
      <w:r>
        <w:rPr>
          <w:lang w:val="sv-SE"/>
        </w:rPr>
        <w:t>Länk till</w:t>
      </w:r>
      <w:r w:rsidR="00386B89" w:rsidRPr="007F2721">
        <w:rPr>
          <w:lang w:val="sv-SE"/>
        </w:rPr>
        <w:t xml:space="preserve"> knappen: </w:t>
      </w:r>
      <w:hyperlink r:id="rId13" w:anchor="id0eaabaaa=reader&amp;ID0EABAAA=Immersive_Reader" w:history="1">
        <w:r w:rsidR="00452AE5" w:rsidRPr="00BB735C">
          <w:rPr>
            <w:rStyle w:val="Hyperlnk"/>
            <w:lang w:val="sv-SE"/>
          </w:rPr>
          <w:t>https://support.microsoft.com/sv-se/office/learning-tools-eff7f7e3-7e21-42f0-a6f1-da7027f98261?ui=en-US&amp;rs=en-US&amp;ad=US#id0eaabaaa=reader&amp;ID0EABAAA=Immersive_Reader</w:t>
        </w:r>
      </w:hyperlink>
      <w:r w:rsidR="00452AE5">
        <w:rPr>
          <w:lang w:val="sv-SE"/>
        </w:rPr>
        <w:t xml:space="preserve"> </w:t>
      </w:r>
    </w:p>
    <w:p w14:paraId="6BF2F9C5" w14:textId="4F05F03C" w:rsidR="00386B89" w:rsidRPr="00063031" w:rsidRDefault="00386B89" w:rsidP="00386B89">
      <w:pPr>
        <w:rPr>
          <w:lang w:val="sv-SE"/>
        </w:rPr>
      </w:pPr>
    </w:p>
    <w:sectPr w:rsidR="00386B89" w:rsidRPr="00063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89"/>
    <w:rsid w:val="0000020B"/>
    <w:rsid w:val="00061A26"/>
    <w:rsid w:val="00063031"/>
    <w:rsid w:val="000634B8"/>
    <w:rsid w:val="000A4DD6"/>
    <w:rsid w:val="000C07B9"/>
    <w:rsid w:val="00100974"/>
    <w:rsid w:val="001179DB"/>
    <w:rsid w:val="00146249"/>
    <w:rsid w:val="001E1827"/>
    <w:rsid w:val="00203831"/>
    <w:rsid w:val="002204D0"/>
    <w:rsid w:val="00240A1E"/>
    <w:rsid w:val="00264EDA"/>
    <w:rsid w:val="002B4AB3"/>
    <w:rsid w:val="0030210B"/>
    <w:rsid w:val="0032269F"/>
    <w:rsid w:val="003248D3"/>
    <w:rsid w:val="00372187"/>
    <w:rsid w:val="00386B89"/>
    <w:rsid w:val="003B3BF7"/>
    <w:rsid w:val="0040597E"/>
    <w:rsid w:val="004452F4"/>
    <w:rsid w:val="00452AE5"/>
    <w:rsid w:val="00491F34"/>
    <w:rsid w:val="00510765"/>
    <w:rsid w:val="00545285"/>
    <w:rsid w:val="005507FC"/>
    <w:rsid w:val="0057440F"/>
    <w:rsid w:val="00605D5E"/>
    <w:rsid w:val="0061470D"/>
    <w:rsid w:val="006426E2"/>
    <w:rsid w:val="006A6C10"/>
    <w:rsid w:val="006C5792"/>
    <w:rsid w:val="006D075D"/>
    <w:rsid w:val="00735E88"/>
    <w:rsid w:val="00776147"/>
    <w:rsid w:val="00787547"/>
    <w:rsid w:val="007F2721"/>
    <w:rsid w:val="007F43A8"/>
    <w:rsid w:val="0083119E"/>
    <w:rsid w:val="00901490"/>
    <w:rsid w:val="00926278"/>
    <w:rsid w:val="009820E3"/>
    <w:rsid w:val="009C175D"/>
    <w:rsid w:val="009C3B90"/>
    <w:rsid w:val="00A10C06"/>
    <w:rsid w:val="00A2626D"/>
    <w:rsid w:val="00A71DAD"/>
    <w:rsid w:val="00A747A7"/>
    <w:rsid w:val="00B447B1"/>
    <w:rsid w:val="00BA71CE"/>
    <w:rsid w:val="00C278E3"/>
    <w:rsid w:val="00C53587"/>
    <w:rsid w:val="00CA2073"/>
    <w:rsid w:val="00CE5EE6"/>
    <w:rsid w:val="00CE6828"/>
    <w:rsid w:val="00D0185E"/>
    <w:rsid w:val="00D262ED"/>
    <w:rsid w:val="00DE5680"/>
    <w:rsid w:val="00E403C5"/>
    <w:rsid w:val="00E731CE"/>
    <w:rsid w:val="00E90225"/>
    <w:rsid w:val="00EA7EFE"/>
    <w:rsid w:val="00EC1C62"/>
    <w:rsid w:val="00F876B1"/>
    <w:rsid w:val="00F91A06"/>
    <w:rsid w:val="00FA1EE0"/>
    <w:rsid w:val="00FB103E"/>
    <w:rsid w:val="4E4827E0"/>
    <w:rsid w:val="5463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67D5"/>
  <w15:chartTrackingRefBased/>
  <w15:docId w15:val="{6B89CCD2-DF5C-4756-801E-030B32E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97E"/>
    <w:rPr>
      <w:rFonts w:ascii="Book Antiqua" w:hAnsi="Book Antiqua"/>
      <w:sz w:val="24"/>
    </w:rPr>
  </w:style>
  <w:style w:type="paragraph" w:styleId="Rubrik1">
    <w:name w:val="heading 1"/>
    <w:basedOn w:val="Normal"/>
    <w:next w:val="Normal"/>
    <w:link w:val="Rubrik1Char"/>
    <w:uiPriority w:val="9"/>
    <w:qFormat/>
    <w:rsid w:val="0040597E"/>
    <w:pPr>
      <w:keepNext/>
      <w:keepLines/>
      <w:spacing w:before="240" w:after="0"/>
      <w:outlineLvl w:val="0"/>
    </w:pPr>
    <w:rPr>
      <w:rFonts w:ascii="Arial" w:eastAsiaTheme="majorEastAsia" w:hAnsi="Arial" w:cstheme="majorBidi"/>
      <w:b/>
      <w:sz w:val="32"/>
      <w:szCs w:val="32"/>
    </w:rPr>
  </w:style>
  <w:style w:type="paragraph" w:styleId="Rubrik2">
    <w:name w:val="heading 2"/>
    <w:basedOn w:val="Normal"/>
    <w:next w:val="Normal"/>
    <w:link w:val="Rubrik2Char"/>
    <w:uiPriority w:val="9"/>
    <w:unhideWhenUsed/>
    <w:qFormat/>
    <w:rsid w:val="0040597E"/>
    <w:pPr>
      <w:keepNext/>
      <w:keepLines/>
      <w:spacing w:before="40" w:after="0"/>
      <w:outlineLvl w:val="1"/>
    </w:pPr>
    <w:rPr>
      <w:rFonts w:ascii="Arial" w:eastAsiaTheme="majorEastAsia" w:hAnsi="Arial" w:cstheme="majorBidi"/>
      <w:b/>
      <w:sz w:val="28"/>
      <w:szCs w:val="26"/>
    </w:rPr>
  </w:style>
  <w:style w:type="paragraph" w:styleId="Rubrik3">
    <w:name w:val="heading 3"/>
    <w:basedOn w:val="Normal"/>
    <w:next w:val="Normal"/>
    <w:link w:val="Rubrik3Char"/>
    <w:uiPriority w:val="9"/>
    <w:unhideWhenUsed/>
    <w:qFormat/>
    <w:rsid w:val="006426E2"/>
    <w:pPr>
      <w:keepNext/>
      <w:keepLines/>
      <w:spacing w:before="40" w:after="0"/>
      <w:outlineLvl w:val="2"/>
    </w:pPr>
    <w:rPr>
      <w:rFonts w:ascii="Arial" w:eastAsiaTheme="majorEastAsia" w:hAnsi="Arial"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0597E"/>
    <w:rPr>
      <w:rFonts w:ascii="Arial" w:eastAsiaTheme="majorEastAsia" w:hAnsi="Arial" w:cstheme="majorBidi"/>
      <w:b/>
      <w:sz w:val="32"/>
      <w:szCs w:val="32"/>
    </w:rPr>
  </w:style>
  <w:style w:type="character" w:styleId="Hyperlnk">
    <w:name w:val="Hyperlink"/>
    <w:basedOn w:val="Standardstycketeckensnitt"/>
    <w:uiPriority w:val="99"/>
    <w:unhideWhenUsed/>
    <w:rsid w:val="00061A26"/>
    <w:rPr>
      <w:color w:val="0563C1" w:themeColor="hyperlink"/>
      <w:u w:val="single"/>
    </w:rPr>
  </w:style>
  <w:style w:type="character" w:styleId="Olstomnmnande">
    <w:name w:val="Unresolved Mention"/>
    <w:basedOn w:val="Standardstycketeckensnitt"/>
    <w:uiPriority w:val="99"/>
    <w:semiHidden/>
    <w:unhideWhenUsed/>
    <w:rsid w:val="00061A26"/>
    <w:rPr>
      <w:color w:val="605E5C"/>
      <w:shd w:val="clear" w:color="auto" w:fill="E1DFDD"/>
    </w:rPr>
  </w:style>
  <w:style w:type="character" w:customStyle="1" w:styleId="Rubrik2Char">
    <w:name w:val="Rubrik 2 Char"/>
    <w:basedOn w:val="Standardstycketeckensnitt"/>
    <w:link w:val="Rubrik2"/>
    <w:uiPriority w:val="9"/>
    <w:rsid w:val="0040597E"/>
    <w:rPr>
      <w:rFonts w:ascii="Arial" w:eastAsiaTheme="majorEastAsia" w:hAnsi="Arial" w:cstheme="majorBidi"/>
      <w:b/>
      <w:sz w:val="28"/>
      <w:szCs w:val="26"/>
    </w:rPr>
  </w:style>
  <w:style w:type="paragraph" w:styleId="Normalwebb">
    <w:name w:val="Normal (Web)"/>
    <w:basedOn w:val="Normal"/>
    <w:uiPriority w:val="99"/>
    <w:semiHidden/>
    <w:unhideWhenUsed/>
    <w:rsid w:val="006D075D"/>
    <w:pPr>
      <w:spacing w:before="100" w:beforeAutospacing="1" w:after="100" w:afterAutospacing="1" w:line="240" w:lineRule="auto"/>
    </w:pPr>
    <w:rPr>
      <w:rFonts w:ascii="Times New Roman" w:eastAsia="Times New Roman" w:hAnsi="Times New Roman" w:cs="Times New Roman"/>
      <w:szCs w:val="24"/>
      <w:lang w:val="sv-SE" w:eastAsia="sv-SE"/>
    </w:rPr>
  </w:style>
  <w:style w:type="character" w:customStyle="1" w:styleId="highlighted">
    <w:name w:val="highlighted"/>
    <w:basedOn w:val="Standardstycketeckensnitt"/>
    <w:rsid w:val="0061470D"/>
  </w:style>
  <w:style w:type="character" w:styleId="Kommentarsreferens">
    <w:name w:val="annotation reference"/>
    <w:basedOn w:val="Standardstycketeckensnitt"/>
    <w:uiPriority w:val="99"/>
    <w:semiHidden/>
    <w:unhideWhenUsed/>
    <w:rsid w:val="003B3BF7"/>
    <w:rPr>
      <w:sz w:val="16"/>
      <w:szCs w:val="16"/>
    </w:rPr>
  </w:style>
  <w:style w:type="paragraph" w:styleId="Kommentarer">
    <w:name w:val="annotation text"/>
    <w:basedOn w:val="Normal"/>
    <w:link w:val="KommentarerChar"/>
    <w:uiPriority w:val="99"/>
    <w:semiHidden/>
    <w:unhideWhenUsed/>
    <w:rsid w:val="003B3BF7"/>
    <w:pPr>
      <w:spacing w:line="240" w:lineRule="auto"/>
    </w:pPr>
    <w:rPr>
      <w:sz w:val="20"/>
      <w:szCs w:val="20"/>
    </w:rPr>
  </w:style>
  <w:style w:type="character" w:customStyle="1" w:styleId="KommentarerChar">
    <w:name w:val="Kommentarer Char"/>
    <w:basedOn w:val="Standardstycketeckensnitt"/>
    <w:link w:val="Kommentarer"/>
    <w:uiPriority w:val="99"/>
    <w:semiHidden/>
    <w:rsid w:val="003B3BF7"/>
    <w:rPr>
      <w:rFonts w:ascii="Book Antiqua" w:hAnsi="Book Antiqua"/>
      <w:sz w:val="20"/>
      <w:szCs w:val="20"/>
    </w:rPr>
  </w:style>
  <w:style w:type="paragraph" w:styleId="Kommentarsmne">
    <w:name w:val="annotation subject"/>
    <w:basedOn w:val="Kommentarer"/>
    <w:next w:val="Kommentarer"/>
    <w:link w:val="KommentarsmneChar"/>
    <w:uiPriority w:val="99"/>
    <w:semiHidden/>
    <w:unhideWhenUsed/>
    <w:rsid w:val="003B3BF7"/>
    <w:rPr>
      <w:b/>
      <w:bCs/>
    </w:rPr>
  </w:style>
  <w:style w:type="character" w:customStyle="1" w:styleId="KommentarsmneChar">
    <w:name w:val="Kommentarsämne Char"/>
    <w:basedOn w:val="KommentarerChar"/>
    <w:link w:val="Kommentarsmne"/>
    <w:uiPriority w:val="99"/>
    <w:semiHidden/>
    <w:rsid w:val="003B3BF7"/>
    <w:rPr>
      <w:rFonts w:ascii="Book Antiqua" w:hAnsi="Book Antiqua"/>
      <w:b/>
      <w:bCs/>
      <w:sz w:val="20"/>
      <w:szCs w:val="20"/>
    </w:rPr>
  </w:style>
  <w:style w:type="character" w:styleId="AnvndHyperlnk">
    <w:name w:val="FollowedHyperlink"/>
    <w:basedOn w:val="Standardstycketeckensnitt"/>
    <w:uiPriority w:val="99"/>
    <w:semiHidden/>
    <w:unhideWhenUsed/>
    <w:rsid w:val="00146249"/>
    <w:rPr>
      <w:color w:val="954F72" w:themeColor="followedHyperlink"/>
      <w:u w:val="single"/>
    </w:rPr>
  </w:style>
  <w:style w:type="character" w:customStyle="1" w:styleId="Rubrik3Char">
    <w:name w:val="Rubrik 3 Char"/>
    <w:basedOn w:val="Standardstycketeckensnitt"/>
    <w:link w:val="Rubrik3"/>
    <w:uiPriority w:val="9"/>
    <w:rsid w:val="006426E2"/>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2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iksdagen.se/vad-gor-eu/en-eu-lag-blir-till/" TargetMode="External"/><Relationship Id="rId13" Type="http://schemas.openxmlformats.org/officeDocument/2006/relationships/hyperlink" Target="https://support.microsoft.com/sv-se/office/learning-tools-eff7f7e3-7e21-42f0-a6f1-da7027f98261?ui=en-US&amp;rs=en-US&amp;ad=US" TargetMode="External"/><Relationship Id="rId3" Type="http://schemas.openxmlformats.org/officeDocument/2006/relationships/webSettings" Target="webSettings.xml"/><Relationship Id="rId7" Type="http://schemas.openxmlformats.org/officeDocument/2006/relationships/hyperlink" Target="https://www.upphandlingsmyndigheten.se/regler-och-lagstiftning/troskelvarden-och-direktupphandlingsgranser/" TargetMode="External"/><Relationship Id="rId12" Type="http://schemas.openxmlformats.org/officeDocument/2006/relationships/hyperlink" Target="https://support.microsoft.com/sv-se/office/anv%c3%a4nda-avancerad-l%c3%a4sare-i-microsoft-teams-a700c0d0-bc53-4696-a94d-4fbc86ac7a9a?ui=sv-SE&amp;rs=sv-SE&amp;ad=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pphandlingsmyndigheten.se/regler-och-lagstiftning/de-grundlaggande-upphandlingsprinciperna/" TargetMode="External"/><Relationship Id="rId11" Type="http://schemas.openxmlformats.org/officeDocument/2006/relationships/hyperlink" Target="https://frageportalen.upphandlingsmyndigheten.se/org/upphandlingsmyndigheten/d/konsdiskriminering/" TargetMode="External"/><Relationship Id="rId5" Type="http://schemas.openxmlformats.org/officeDocument/2006/relationships/hyperlink" Target="https://www.upphandlingsmyndigheten.se/om-hallbar-upphandling/socialt-hallbar-upphandling/upphandla-varor-och-tjanster-som-ar-tillgangliga-for-alla/forbered-upphandling-av-tillgangliga-varor-och-tjanster/" TargetMode="External"/><Relationship Id="rId15" Type="http://schemas.openxmlformats.org/officeDocument/2006/relationships/theme" Target="theme/theme1.xml"/><Relationship Id="rId10" Type="http://schemas.openxmlformats.org/officeDocument/2006/relationships/hyperlink" Target="https://www.upphandlingsmyndigheten.se/om-hallbar-upphandling/socialt-hallbar-upphandling/framjande-av-lika-rattigheter-och-mojligheter" TargetMode="External"/><Relationship Id="rId4" Type="http://schemas.openxmlformats.org/officeDocument/2006/relationships/hyperlink" Target="https://www.upphandlingsmyndigheten.se/regler-och-lagstiftning/troskelvarden-och-direktupphandlingsgranser/" TargetMode="External"/><Relationship Id="rId9" Type="http://schemas.openxmlformats.org/officeDocument/2006/relationships/hyperlink" Target="https://www.upphandlingsmyndigheten.se/globalassets/dokument/flytt/lou_prop_2015_16_19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1314</Words>
  <Characters>6969</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8267</CharactersWithSpaces>
  <SharedDoc>false</SharedDoc>
  <HLinks>
    <vt:vector size="60" baseType="variant">
      <vt:variant>
        <vt:i4>5439588</vt:i4>
      </vt:variant>
      <vt:variant>
        <vt:i4>27</vt:i4>
      </vt:variant>
      <vt:variant>
        <vt:i4>0</vt:i4>
      </vt:variant>
      <vt:variant>
        <vt:i4>5</vt:i4>
      </vt:variant>
      <vt:variant>
        <vt:lpwstr>https://support.microsoft.com/sv-se/office/learning-tools-eff7f7e3-7e21-42f0-a6f1-da7027f98261?ui=en-US&amp;rs=en-US&amp;ad=US</vt:lpwstr>
      </vt:variant>
      <vt:variant>
        <vt:lpwstr>id0eaabaaa=reader&amp;ID0EABAAA=Immersive_Reader</vt:lpwstr>
      </vt:variant>
      <vt:variant>
        <vt:i4>4849695</vt:i4>
      </vt:variant>
      <vt:variant>
        <vt:i4>24</vt:i4>
      </vt:variant>
      <vt:variant>
        <vt:i4>0</vt:i4>
      </vt:variant>
      <vt:variant>
        <vt:i4>5</vt:i4>
      </vt:variant>
      <vt:variant>
        <vt:lpwstr>https://support.microsoft.com/sv-se/office/anv%c3%a4nda-avancerad-l%c3%a4sare-i-microsoft-teams-a700c0d0-bc53-4696-a94d-4fbc86ac7a9a?ui=sv-SE&amp;rs=sv-SE&amp;ad=SE</vt:lpwstr>
      </vt:variant>
      <vt:variant>
        <vt:lpwstr/>
      </vt:variant>
      <vt:variant>
        <vt:i4>3145764</vt:i4>
      </vt:variant>
      <vt:variant>
        <vt:i4>21</vt:i4>
      </vt:variant>
      <vt:variant>
        <vt:i4>0</vt:i4>
      </vt:variant>
      <vt:variant>
        <vt:i4>5</vt:i4>
      </vt:variant>
      <vt:variant>
        <vt:lpwstr>https://frageportalen.upphandlingsmyndigheten.se/org/upphandlingsmyndigheten/d/konsdiskriminering/</vt:lpwstr>
      </vt:variant>
      <vt:variant>
        <vt:lpwstr/>
      </vt:variant>
      <vt:variant>
        <vt:i4>6619188</vt:i4>
      </vt:variant>
      <vt:variant>
        <vt:i4>18</vt:i4>
      </vt:variant>
      <vt:variant>
        <vt:i4>0</vt:i4>
      </vt:variant>
      <vt:variant>
        <vt:i4>5</vt:i4>
      </vt:variant>
      <vt:variant>
        <vt:lpwstr>https://www.upphandlingsmyndigheten.se/om-hallbar-upphandling/socialt-hallbar-upphandling/framjande-av-lika-rattigheter-och-mojligheter</vt:lpwstr>
      </vt:variant>
      <vt:variant>
        <vt:lpwstr/>
      </vt:variant>
      <vt:variant>
        <vt:i4>6815776</vt:i4>
      </vt:variant>
      <vt:variant>
        <vt:i4>15</vt:i4>
      </vt:variant>
      <vt:variant>
        <vt:i4>0</vt:i4>
      </vt:variant>
      <vt:variant>
        <vt:i4>5</vt:i4>
      </vt:variant>
      <vt:variant>
        <vt:lpwstr>https://www.upphandlingsmyndigheten.se/regler-och-lagstiftning/troskelvarden-och-direktupphandlingsgranser/</vt:lpwstr>
      </vt:variant>
      <vt:variant>
        <vt:lpwstr/>
      </vt:variant>
      <vt:variant>
        <vt:i4>3866682</vt:i4>
      </vt:variant>
      <vt:variant>
        <vt:i4>12</vt:i4>
      </vt:variant>
      <vt:variant>
        <vt:i4>0</vt:i4>
      </vt:variant>
      <vt:variant>
        <vt:i4>5</vt:i4>
      </vt:variant>
      <vt:variant>
        <vt:lpwstr>http://eu.riksdagen.se/vad-gor-eu/en-eu-lag-blir-till/</vt:lpwstr>
      </vt:variant>
      <vt:variant>
        <vt:lpwstr/>
      </vt:variant>
      <vt:variant>
        <vt:i4>6815776</vt:i4>
      </vt:variant>
      <vt:variant>
        <vt:i4>9</vt:i4>
      </vt:variant>
      <vt:variant>
        <vt:i4>0</vt:i4>
      </vt:variant>
      <vt:variant>
        <vt:i4>5</vt:i4>
      </vt:variant>
      <vt:variant>
        <vt:lpwstr>https://www.upphandlingsmyndigheten.se/regler-och-lagstiftning/troskelvarden-och-direktupphandlingsgranser/</vt:lpwstr>
      </vt:variant>
      <vt:variant>
        <vt:lpwstr/>
      </vt:variant>
      <vt:variant>
        <vt:i4>8323125</vt:i4>
      </vt:variant>
      <vt:variant>
        <vt:i4>6</vt:i4>
      </vt:variant>
      <vt:variant>
        <vt:i4>0</vt:i4>
      </vt:variant>
      <vt:variant>
        <vt:i4>5</vt:i4>
      </vt:variant>
      <vt:variant>
        <vt:lpwstr>https://www.upphandlingsmyndigheten.se/globalassets/dokument/flytt/lou_prop_2015_16_195.pdf</vt:lpwstr>
      </vt:variant>
      <vt:variant>
        <vt:lpwstr/>
      </vt:variant>
      <vt:variant>
        <vt:i4>4980809</vt:i4>
      </vt:variant>
      <vt:variant>
        <vt:i4>3</vt:i4>
      </vt:variant>
      <vt:variant>
        <vt:i4>0</vt:i4>
      </vt:variant>
      <vt:variant>
        <vt:i4>5</vt:i4>
      </vt:variant>
      <vt:variant>
        <vt:lpwstr>https://www.upphandlingsmyndigheten.se/regler-och-lagstiftning/de-grundlaggande-upphandlingsprinciperna/</vt:lpwstr>
      </vt:variant>
      <vt:variant>
        <vt:lpwstr/>
      </vt:variant>
      <vt:variant>
        <vt:i4>4391002</vt:i4>
      </vt:variant>
      <vt:variant>
        <vt:i4>0</vt:i4>
      </vt:variant>
      <vt:variant>
        <vt:i4>0</vt:i4>
      </vt:variant>
      <vt:variant>
        <vt:i4>5</vt:i4>
      </vt:variant>
      <vt:variant>
        <vt:lpwstr>https://www.upphandlingsmyndigheten.se/om-hallbar-upphandling/socialt-hallbar-upphandling/upphandla-varor-och-tjanster-som-ar-tillgangliga-for-alla/forbered-upphandling-av-tillgangliga-varor-och-tjanster/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Miller</dc:creator>
  <cp:keywords/>
  <dc:description/>
  <cp:lastModifiedBy>Mia Ahlgren</cp:lastModifiedBy>
  <cp:revision>4</cp:revision>
  <dcterms:created xsi:type="dcterms:W3CDTF">2021-02-08T12:28:00Z</dcterms:created>
  <dcterms:modified xsi:type="dcterms:W3CDTF">2021-02-08T12:29:00Z</dcterms:modified>
</cp:coreProperties>
</file>