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D585" w14:textId="0BC088AA" w:rsidR="00A25254" w:rsidRPr="003F6124" w:rsidRDefault="003E4BF2" w:rsidP="00A25254">
      <w:pPr>
        <w:pStyle w:val="Rubrik1"/>
      </w:pPr>
      <w:r w:rsidRPr="003F6124">
        <w:t xml:space="preserve">Översiktstabell </w:t>
      </w:r>
      <w:r w:rsidR="003F6124" w:rsidRPr="003F6124">
        <w:t>Europeiska Tillgänglighe</w:t>
      </w:r>
      <w:r w:rsidR="003F6124">
        <w:t>tslagen</w:t>
      </w:r>
      <w:r w:rsidR="00A25254" w:rsidRPr="003F6124">
        <w:t xml:space="preserve"> </w:t>
      </w:r>
      <w:proofErr w:type="spellStart"/>
      <w:r w:rsidR="00A25254" w:rsidRPr="003F6124">
        <w:t>Accessibility</w:t>
      </w:r>
      <w:proofErr w:type="spellEnd"/>
      <w:r w:rsidR="00A25254" w:rsidRPr="003F6124">
        <w:t xml:space="preserve"> </w:t>
      </w:r>
      <w:proofErr w:type="spellStart"/>
      <w:r w:rsidR="00A25254" w:rsidRPr="003F6124">
        <w:t>Act</w:t>
      </w:r>
      <w:proofErr w:type="spellEnd"/>
      <w:r w:rsidR="003F6124">
        <w:t xml:space="preserve"> i svensk prop.</w:t>
      </w:r>
    </w:p>
    <w:p w14:paraId="0ADFD00B" w14:textId="0918ED89" w:rsidR="003F6124" w:rsidRDefault="005440D8">
      <w:r>
        <w:t xml:space="preserve">Efter </w:t>
      </w:r>
      <w:r w:rsidR="00271E57">
        <w:t>mer än</w:t>
      </w:r>
      <w:r>
        <w:t xml:space="preserve"> 10 års förarbete </w:t>
      </w:r>
      <w:r w:rsidR="00271E57">
        <w:t xml:space="preserve">beslutade EU om </w:t>
      </w:r>
      <w:r w:rsidR="00E47349" w:rsidRPr="00E47349">
        <w:t>Europaparlamentets och rådet direktiv 2019/882 av den 17 april 2019 om tillgänglighetskrav för produkter och tjänster (</w:t>
      </w:r>
      <w:r w:rsidR="00271E57">
        <w:t xml:space="preserve">på engelska kallat </w:t>
      </w:r>
      <w:proofErr w:type="spellStart"/>
      <w:r w:rsidR="00271E57">
        <w:t>European</w:t>
      </w:r>
      <w:proofErr w:type="spellEnd"/>
      <w:r w:rsidR="00271E57">
        <w:t xml:space="preserve"> </w:t>
      </w:r>
      <w:proofErr w:type="spellStart"/>
      <w:r w:rsidR="00271E57" w:rsidRPr="00271E57">
        <w:rPr>
          <w:b/>
          <w:bCs/>
        </w:rPr>
        <w:t>Accessibility</w:t>
      </w:r>
      <w:proofErr w:type="spellEnd"/>
      <w:r w:rsidR="00271E57" w:rsidRPr="00271E57">
        <w:rPr>
          <w:b/>
          <w:bCs/>
        </w:rPr>
        <w:t xml:space="preserve"> </w:t>
      </w:r>
      <w:proofErr w:type="spellStart"/>
      <w:r w:rsidR="00271E57" w:rsidRPr="00271E57">
        <w:rPr>
          <w:b/>
          <w:bCs/>
        </w:rPr>
        <w:t>Act</w:t>
      </w:r>
      <w:proofErr w:type="spellEnd"/>
      <w:r w:rsidR="000768A6">
        <w:rPr>
          <w:b/>
          <w:bCs/>
        </w:rPr>
        <w:t>, EAA</w:t>
      </w:r>
      <w:r w:rsidR="00E47349" w:rsidRPr="00E47349">
        <w:t>).</w:t>
      </w:r>
      <w:r w:rsidR="00271E57">
        <w:t xml:space="preserve"> </w:t>
      </w:r>
      <w:r w:rsidR="00D30B6E">
        <w:t xml:space="preserve">Direktivet skulle varit infört i nationell lag senast den 28 juni 2022.  Den 22 december 2022 överlämnade regeringen propositionen </w:t>
      </w:r>
      <w:r w:rsidR="00E75E14">
        <w:t>Genomförande av tillgänglighetsdirektivet (</w:t>
      </w:r>
      <w:proofErr w:type="spellStart"/>
      <w:r w:rsidR="00E75E14">
        <w:t>prop</w:t>
      </w:r>
      <w:proofErr w:type="spellEnd"/>
      <w:r w:rsidR="00E75E14">
        <w:t xml:space="preserve"> 2022/23:</w:t>
      </w:r>
      <w:r w:rsidR="004252DE">
        <w:t>42) till riksdagen.</w:t>
      </w:r>
    </w:p>
    <w:p w14:paraId="2EA7054C" w14:textId="010D7C4B" w:rsidR="00A25254" w:rsidRPr="003F6124" w:rsidRDefault="004252DE">
      <w:r>
        <w:t xml:space="preserve">Nedanstående tabell innehåller en </w:t>
      </w:r>
      <w:r w:rsidR="00EB4B4D">
        <w:t xml:space="preserve">snabb </w:t>
      </w:r>
      <w:r>
        <w:t>översikt</w:t>
      </w:r>
      <w:r w:rsidR="00E576B4">
        <w:t>lig genomgång</w:t>
      </w:r>
      <w:r>
        <w:t xml:space="preserve"> av direktivets artiklar och dess motsvarighet i </w:t>
      </w:r>
      <w:r w:rsidR="0096533F">
        <w:t xml:space="preserve">propositionen, men utan </w:t>
      </w:r>
      <w:r w:rsidR="00AA307A">
        <w:t>detaljer</w:t>
      </w:r>
      <w:r w:rsidR="0096533F">
        <w:t>. U</w:t>
      </w:r>
      <w:r w:rsidR="00281741">
        <w:t xml:space="preserve">ppställningen är </w:t>
      </w:r>
      <w:r w:rsidR="0045462F">
        <w:t xml:space="preserve">inspirerad av </w:t>
      </w:r>
      <w:hyperlink r:id="rId8" w:history="1">
        <w:r w:rsidR="009B3433" w:rsidRPr="007D797E">
          <w:rPr>
            <w:rStyle w:val="Hyperlnk"/>
          </w:rPr>
          <w:t>b</w:t>
        </w:r>
        <w:r w:rsidR="003F6124" w:rsidRPr="007D797E">
          <w:rPr>
            <w:rStyle w:val="Hyperlnk"/>
          </w:rPr>
          <w:t>ilaga</w:t>
        </w:r>
        <w:r w:rsidR="00A25254" w:rsidRPr="007D797E">
          <w:rPr>
            <w:rStyle w:val="Hyperlnk"/>
          </w:rPr>
          <w:t xml:space="preserve"> 6 </w:t>
        </w:r>
        <w:r w:rsidR="003F6124" w:rsidRPr="007D797E">
          <w:rPr>
            <w:rStyle w:val="Hyperlnk"/>
          </w:rPr>
          <w:t xml:space="preserve">i betänkandet </w:t>
        </w:r>
        <w:r w:rsidR="00907C53" w:rsidRPr="007D797E">
          <w:rPr>
            <w:rStyle w:val="Hyperlnk"/>
          </w:rPr>
          <w:t>Tillgänglighetsdirektivet SOU 2021:44</w:t>
        </w:r>
      </w:hyperlink>
      <w:r w:rsidR="004B47A0">
        <w:t xml:space="preserve"> där det framkommer att flera stycken saknar motsvarighet i betänkandets förslag. </w:t>
      </w:r>
      <w:r w:rsidR="00CF6DE0">
        <w:t xml:space="preserve">I tabellen finns även </w:t>
      </w:r>
      <w:r w:rsidR="004B47A0">
        <w:t xml:space="preserve">ibland </w:t>
      </w:r>
      <w:r w:rsidR="00CF6DE0">
        <w:t xml:space="preserve">jämförelse med </w:t>
      </w:r>
      <w:hyperlink r:id="rId9" w:history="1">
        <w:r w:rsidR="00CF6DE0" w:rsidRPr="007D797E">
          <w:rPr>
            <w:rStyle w:val="Hyperlnk"/>
          </w:rPr>
          <w:t xml:space="preserve">Danmark som redan infört </w:t>
        </w:r>
        <w:r w:rsidR="007D797E" w:rsidRPr="007D797E">
          <w:rPr>
            <w:rStyle w:val="Hyperlnk"/>
          </w:rPr>
          <w:t>motsvarande lag</w:t>
        </w:r>
      </w:hyperlink>
      <w:r w:rsidR="004B47A0">
        <w:t xml:space="preserve"> </w:t>
      </w:r>
      <w:r w:rsidR="009371E3">
        <w:t>och</w:t>
      </w:r>
      <w:r w:rsidR="004B47A0">
        <w:t xml:space="preserve"> tagit de flesta formuleringar direkt från direktivet</w:t>
      </w:r>
      <w:r w:rsidR="000436CB">
        <w:t xml:space="preserve">. Regeringen har valt att göra stora förändringar jämfört med originalet vilket gör att det är mycket svårt att bedöma </w:t>
      </w:r>
      <w:r w:rsidR="00BA10F2">
        <w:t xml:space="preserve">effekter. </w:t>
      </w:r>
      <w:r w:rsidR="00894F0D">
        <w:t>Några g</w:t>
      </w:r>
      <w:r w:rsidR="00BA10F2">
        <w:t>ulmarkera</w:t>
      </w:r>
      <w:r w:rsidR="00626924">
        <w:t xml:space="preserve">de skillnader </w:t>
      </w:r>
      <w:r w:rsidR="002136CF">
        <w:t>behöver uppmärksammas</w:t>
      </w:r>
      <w:r w:rsidR="004B47A0">
        <w:t>.</w:t>
      </w:r>
    </w:p>
    <w:p w14:paraId="527E20BD" w14:textId="77777777" w:rsidR="00A25254" w:rsidRPr="00A23E03" w:rsidRDefault="00A25254"/>
    <w:p w14:paraId="26A8F546" w14:textId="225D48A7" w:rsidR="00A25254" w:rsidRDefault="00A25254" w:rsidP="00A25254">
      <w:pPr>
        <w:pStyle w:val="Rubrik2"/>
      </w:pPr>
      <w:r>
        <w:t>Tab</w:t>
      </w:r>
      <w:r w:rsidR="007575FD">
        <w:t>ell</w:t>
      </w:r>
      <w:r>
        <w:t xml:space="preserve"> </w:t>
      </w:r>
      <w:r w:rsidR="00E576B4">
        <w:t xml:space="preserve">Översiktlig jämförelse mellan </w:t>
      </w:r>
      <w:r w:rsidR="00706DBE">
        <w:t>direktivet</w:t>
      </w:r>
      <w:r w:rsidR="00E576B4">
        <w:t xml:space="preserve"> och proposition (ej detaljer)</w:t>
      </w:r>
      <w:r w:rsidR="00706DBE">
        <w:t>.</w:t>
      </w:r>
      <w:r>
        <w:t xml:space="preserve"> </w:t>
      </w:r>
    </w:p>
    <w:tbl>
      <w:tblPr>
        <w:tblStyle w:val="Tabellrutnt"/>
        <w:tblW w:w="0" w:type="auto"/>
        <w:tblLook w:val="04A0" w:firstRow="1" w:lastRow="0" w:firstColumn="1" w:lastColumn="0" w:noHBand="0" w:noVBand="1"/>
      </w:tblPr>
      <w:tblGrid>
        <w:gridCol w:w="2174"/>
        <w:gridCol w:w="3216"/>
        <w:gridCol w:w="8604"/>
      </w:tblGrid>
      <w:tr w:rsidR="009F7DC8" w14:paraId="75869C85" w14:textId="5CE06D88" w:rsidTr="004B47A0">
        <w:tc>
          <w:tcPr>
            <w:tcW w:w="2174" w:type="dxa"/>
          </w:tcPr>
          <w:p w14:paraId="034FB441" w14:textId="0A67277D" w:rsidR="0045462F" w:rsidRPr="00A25254" w:rsidRDefault="0045462F" w:rsidP="00A25254">
            <w:pPr>
              <w:pStyle w:val="Rubrik3"/>
            </w:pPr>
            <w:r>
              <w:t>Artikel i direktivet</w:t>
            </w:r>
          </w:p>
        </w:tc>
        <w:tc>
          <w:tcPr>
            <w:tcW w:w="3216" w:type="dxa"/>
          </w:tcPr>
          <w:p w14:paraId="028CFB05" w14:textId="5309396E" w:rsidR="0045462F" w:rsidRDefault="0045462F" w:rsidP="00A25254">
            <w:pPr>
              <w:pStyle w:val="Rubrik3"/>
            </w:pPr>
            <w:r>
              <w:t>Proposition 2022/23:42</w:t>
            </w:r>
          </w:p>
        </w:tc>
        <w:tc>
          <w:tcPr>
            <w:tcW w:w="8604" w:type="dxa"/>
          </w:tcPr>
          <w:p w14:paraId="28D6D3A6" w14:textId="3CFB76A6" w:rsidR="0045462F" w:rsidRDefault="0045462F" w:rsidP="00A25254">
            <w:pPr>
              <w:pStyle w:val="Rubrik3"/>
            </w:pPr>
            <w:r>
              <w:t xml:space="preserve">Kommentar </w:t>
            </w:r>
          </w:p>
        </w:tc>
      </w:tr>
      <w:tr w:rsidR="009F7DC8" w:rsidRPr="00410B99" w14:paraId="117A4B05" w14:textId="54824798" w:rsidTr="004B47A0">
        <w:tc>
          <w:tcPr>
            <w:tcW w:w="2174" w:type="dxa"/>
          </w:tcPr>
          <w:p w14:paraId="32ED0437" w14:textId="709739D2" w:rsidR="0045462F" w:rsidRPr="00A25254" w:rsidRDefault="0045462F" w:rsidP="0057782B">
            <w:r>
              <w:t>Titel</w:t>
            </w:r>
          </w:p>
        </w:tc>
        <w:tc>
          <w:tcPr>
            <w:tcW w:w="3216" w:type="dxa"/>
          </w:tcPr>
          <w:p w14:paraId="056BBE90" w14:textId="4711FF29" w:rsidR="0045462F" w:rsidRPr="00FD754A" w:rsidRDefault="0045462F" w:rsidP="0057782B">
            <w:r w:rsidRPr="00FD754A">
              <w:t xml:space="preserve">Lag om </w:t>
            </w:r>
            <w:r w:rsidRPr="00863F2B">
              <w:rPr>
                <w:highlight w:val="yellow"/>
              </w:rPr>
              <w:t>vissa</w:t>
            </w:r>
            <w:r w:rsidRPr="00FD754A">
              <w:t xml:space="preserve"> produkters o</w:t>
            </w:r>
            <w:r>
              <w:t>ch tjänsters tillgänglighet.</w:t>
            </w:r>
          </w:p>
        </w:tc>
        <w:tc>
          <w:tcPr>
            <w:tcW w:w="8604" w:type="dxa"/>
          </w:tcPr>
          <w:p w14:paraId="25016637" w14:textId="4DE76EBA" w:rsidR="0045462F" w:rsidRPr="00410B99" w:rsidRDefault="0045462F" w:rsidP="0057782B">
            <w:r w:rsidRPr="00410B99">
              <w:t xml:space="preserve">Överensstämmer inte </w:t>
            </w:r>
            <w:r>
              <w:t xml:space="preserve">med direktivet: </w:t>
            </w:r>
            <w:r w:rsidRPr="005D571A">
              <w:rPr>
                <w:b/>
                <w:bCs/>
              </w:rPr>
              <w:t>Lag om tillgänglighetskrav för produkter och tjänster</w:t>
            </w:r>
            <w:r>
              <w:t>. Starkt begränsande av innehåll och förståelsen för direktivet.</w:t>
            </w:r>
          </w:p>
        </w:tc>
      </w:tr>
      <w:tr w:rsidR="009F7DC8" w14:paraId="21707D45" w14:textId="77777777" w:rsidTr="004B47A0">
        <w:tc>
          <w:tcPr>
            <w:tcW w:w="2174" w:type="dxa"/>
          </w:tcPr>
          <w:p w14:paraId="12FE79B2" w14:textId="7D4ABA72" w:rsidR="0045462F" w:rsidRDefault="0045462F" w:rsidP="0057782B">
            <w:r>
              <w:t>Träder i kraft</w:t>
            </w:r>
          </w:p>
        </w:tc>
        <w:tc>
          <w:tcPr>
            <w:tcW w:w="3216" w:type="dxa"/>
          </w:tcPr>
          <w:p w14:paraId="63DB740E" w14:textId="138D962F" w:rsidR="0045462F" w:rsidRPr="00A25254" w:rsidRDefault="0045462F" w:rsidP="0057782B">
            <w:r>
              <w:t>28 juni 2025</w:t>
            </w:r>
          </w:p>
        </w:tc>
        <w:tc>
          <w:tcPr>
            <w:tcW w:w="8604" w:type="dxa"/>
          </w:tcPr>
          <w:p w14:paraId="750023F6" w14:textId="5B2AA9BD" w:rsidR="0045462F" w:rsidRPr="00A25254" w:rsidRDefault="0045462F" w:rsidP="0057782B">
            <w:r>
              <w:t xml:space="preserve">Jfr Direktivet och Danmark där lagen trädde i kraft i enlighet med </w:t>
            </w:r>
            <w:r w:rsidRPr="0081112E">
              <w:t xml:space="preserve">direktivet </w:t>
            </w:r>
            <w:r w:rsidRPr="00076E00">
              <w:rPr>
                <w:b/>
                <w:bCs/>
              </w:rPr>
              <w:t>28 juni 2022</w:t>
            </w:r>
          </w:p>
        </w:tc>
      </w:tr>
      <w:tr w:rsidR="00A01CD3" w14:paraId="539D10D2" w14:textId="77777777" w:rsidTr="004B47A0">
        <w:tc>
          <w:tcPr>
            <w:tcW w:w="2174" w:type="dxa"/>
          </w:tcPr>
          <w:p w14:paraId="551E45F2" w14:textId="4CA3E853" w:rsidR="00A01CD3" w:rsidRDefault="00A01CD3" w:rsidP="0057782B">
            <w:r>
              <w:t>Bilagor med krav</w:t>
            </w:r>
          </w:p>
        </w:tc>
        <w:tc>
          <w:tcPr>
            <w:tcW w:w="3216" w:type="dxa"/>
          </w:tcPr>
          <w:p w14:paraId="056E3B7F" w14:textId="10DBD265" w:rsidR="00A01CD3" w:rsidRPr="00A01CD3" w:rsidRDefault="00A01CD3" w:rsidP="0057782B">
            <w:pPr>
              <w:rPr>
                <w:b/>
                <w:bCs/>
              </w:rPr>
            </w:pPr>
            <w:r w:rsidRPr="00A01CD3">
              <w:rPr>
                <w:b/>
                <w:bCs/>
                <w:highlight w:val="yellow"/>
              </w:rPr>
              <w:t>Saknas</w:t>
            </w:r>
          </w:p>
        </w:tc>
        <w:tc>
          <w:tcPr>
            <w:tcW w:w="8604" w:type="dxa"/>
          </w:tcPr>
          <w:p w14:paraId="70ED1DCC" w14:textId="6F9B0494" w:rsidR="00A01CD3" w:rsidRDefault="00A01CD3" w:rsidP="0057782B">
            <w:r>
              <w:t>Direktivet bilag</w:t>
            </w:r>
            <w:r w:rsidR="00415433">
              <w:t>or, framför allt bilaga</w:t>
            </w:r>
            <w:r>
              <w:t xml:space="preserve"> I</w:t>
            </w:r>
            <w:r w:rsidR="00415433">
              <w:t xml:space="preserve"> och V innehåller de tillgänglighetskrav som hela direktivet handlar om. De saknas helt i prop. </w:t>
            </w:r>
            <w:r w:rsidR="00486D72">
              <w:t xml:space="preserve">– regeringen verkar </w:t>
            </w:r>
            <w:proofErr w:type="gramStart"/>
            <w:r w:rsidR="00486D72">
              <w:t>istället</w:t>
            </w:r>
            <w:proofErr w:type="gramEnd"/>
            <w:r w:rsidR="00486D72">
              <w:t xml:space="preserve"> ha tänkt att de ska utse myndigheter som har möjlighet att utfärda föreskrifter. Eftersom kraven ska tillämpas </w:t>
            </w:r>
            <w:r w:rsidR="00EA04E2">
              <w:t xml:space="preserve">28 juni 2025 riskerar svenska </w:t>
            </w:r>
            <w:r w:rsidR="00EA04E2">
              <w:lastRenderedPageBreak/>
              <w:t>myndigheter och företag bli mycket försenade i förberedelserna jämfört med andra medlemsstater som</w:t>
            </w:r>
            <w:r w:rsidR="00A26E11">
              <w:t xml:space="preserve"> har genomfört lagar med bilagorna, ex </w:t>
            </w:r>
            <w:proofErr w:type="spellStart"/>
            <w:r w:rsidR="00A26E11">
              <w:t>Danmar</w:t>
            </w:r>
            <w:proofErr w:type="spellEnd"/>
            <w:r w:rsidR="00A26E11">
              <w:t>.</w:t>
            </w:r>
          </w:p>
        </w:tc>
      </w:tr>
      <w:tr w:rsidR="009F7DC8" w14:paraId="263EA01F" w14:textId="41BB1735" w:rsidTr="004B47A0">
        <w:tc>
          <w:tcPr>
            <w:tcW w:w="2174" w:type="dxa"/>
          </w:tcPr>
          <w:p w14:paraId="2AAAAD54" w14:textId="28734393" w:rsidR="0045462F" w:rsidRPr="00A25254" w:rsidRDefault="0045462F" w:rsidP="0057782B">
            <w:r>
              <w:lastRenderedPageBreak/>
              <w:t>1</w:t>
            </w:r>
          </w:p>
        </w:tc>
        <w:tc>
          <w:tcPr>
            <w:tcW w:w="3216" w:type="dxa"/>
          </w:tcPr>
          <w:p w14:paraId="4AD34659" w14:textId="19561A31" w:rsidR="0045462F" w:rsidRPr="00A25254" w:rsidRDefault="0045462F" w:rsidP="0057782B">
            <w:r>
              <w:t>1</w:t>
            </w:r>
            <w:r w:rsidRPr="00A25254">
              <w:t xml:space="preserve"> § </w:t>
            </w:r>
            <w:r>
              <w:t>(delvis)</w:t>
            </w:r>
          </w:p>
        </w:tc>
        <w:tc>
          <w:tcPr>
            <w:tcW w:w="8604" w:type="dxa"/>
          </w:tcPr>
          <w:p w14:paraId="4176342E" w14:textId="6D32B5D4" w:rsidR="0045462F" w:rsidRPr="00A25254" w:rsidRDefault="0045462F" w:rsidP="0057782B">
            <w:r>
              <w:t>Skillnader finns. Allvarligast: Direktivet handlar om tillgänglighetskrav generellt, inte till ”</w:t>
            </w:r>
            <w:r w:rsidRPr="0081112E">
              <w:rPr>
                <w:highlight w:val="yellow"/>
              </w:rPr>
              <w:t>vissa</w:t>
            </w:r>
            <w:r>
              <w:t>” produkter/tjänster.</w:t>
            </w:r>
          </w:p>
        </w:tc>
      </w:tr>
      <w:tr w:rsidR="009F7DC8" w14:paraId="0FBF15DC" w14:textId="6EBCA013" w:rsidTr="004B47A0">
        <w:tc>
          <w:tcPr>
            <w:tcW w:w="2174" w:type="dxa"/>
          </w:tcPr>
          <w:p w14:paraId="3BC35027" w14:textId="64821881" w:rsidR="0045462F" w:rsidRPr="00A25254" w:rsidRDefault="0045462F" w:rsidP="0057782B">
            <w:r>
              <w:t>2 tillämpning</w:t>
            </w:r>
          </w:p>
        </w:tc>
        <w:tc>
          <w:tcPr>
            <w:tcW w:w="3216" w:type="dxa"/>
          </w:tcPr>
          <w:p w14:paraId="02A85B31" w14:textId="20CAA62F" w:rsidR="0045462F" w:rsidRPr="00A25254" w:rsidRDefault="0045462F" w:rsidP="0057782B">
            <w:r w:rsidRPr="00A25254">
              <w:t>3</w:t>
            </w:r>
            <w:r>
              <w:t xml:space="preserve">, 4, 5 </w:t>
            </w:r>
            <w:r w:rsidRPr="00A25254">
              <w:t xml:space="preserve">§ </w:t>
            </w:r>
            <w:r>
              <w:t>(delvis)</w:t>
            </w:r>
          </w:p>
        </w:tc>
        <w:tc>
          <w:tcPr>
            <w:tcW w:w="8604" w:type="dxa"/>
          </w:tcPr>
          <w:p w14:paraId="5555F129" w14:textId="122D11AE" w:rsidR="0045462F" w:rsidRPr="00A25254" w:rsidRDefault="0045462F" w:rsidP="0057782B">
            <w:r>
              <w:t xml:space="preserve">Direktivet om tillämpningsområdet indelat i 1) produkter och 2) tjänster på marknaden 28 juni 2025 3) Nödkommunikation nödnumret 112 4) Undantag som rör webb och </w:t>
            </w:r>
            <w:proofErr w:type="spellStart"/>
            <w:r>
              <w:t>appar</w:t>
            </w:r>
            <w:proofErr w:type="spellEnd"/>
            <w:r>
              <w:t xml:space="preserve"> 5) undantag som rör direktiv/förordning om upphovsrätt. </w:t>
            </w:r>
            <w:proofErr w:type="spellStart"/>
            <w:r>
              <w:t>Prop</w:t>
            </w:r>
            <w:proofErr w:type="spellEnd"/>
            <w:r>
              <w:t xml:space="preserve"> delat in i tre paragrafer, men </w:t>
            </w:r>
            <w:r w:rsidRPr="0081112E">
              <w:rPr>
                <w:b/>
                <w:bCs/>
                <w:highlight w:val="yellow"/>
              </w:rPr>
              <w:t>nödkommunikation 112 saknas i lagen</w:t>
            </w:r>
            <w:r w:rsidRPr="008D2104">
              <w:t>.</w:t>
            </w:r>
            <w:r>
              <w:t xml:space="preserve">  Undantagen i 5 § är fler i direktivet, kopplat till </w:t>
            </w:r>
            <w:proofErr w:type="gramStart"/>
            <w:r>
              <w:t>sånt</w:t>
            </w:r>
            <w:proofErr w:type="gramEnd"/>
            <w:r>
              <w:t xml:space="preserve"> som publicerat före 28 juni 2025. Kopplat till att regeringen verkar göra annan tolkning av när lagen ska träda </w:t>
            </w:r>
            <w:proofErr w:type="gramStart"/>
            <w:r>
              <w:t>ikraft</w:t>
            </w:r>
            <w:proofErr w:type="gramEnd"/>
            <w:r>
              <w:t>.</w:t>
            </w:r>
          </w:p>
        </w:tc>
      </w:tr>
      <w:tr w:rsidR="009F7DC8" w14:paraId="449C83EA" w14:textId="77777777" w:rsidTr="004B47A0">
        <w:tc>
          <w:tcPr>
            <w:tcW w:w="2174" w:type="dxa"/>
          </w:tcPr>
          <w:p w14:paraId="1FAFB4AC" w14:textId="570F6E79" w:rsidR="0045462F" w:rsidRPr="00A25254" w:rsidRDefault="0045462F" w:rsidP="0057782B">
            <w:r>
              <w:t>3 definitioner</w:t>
            </w:r>
          </w:p>
        </w:tc>
        <w:tc>
          <w:tcPr>
            <w:tcW w:w="3216" w:type="dxa"/>
          </w:tcPr>
          <w:p w14:paraId="16A8CD9F" w14:textId="1E2F89EA" w:rsidR="0045462F" w:rsidRPr="00A25254" w:rsidRDefault="0045462F" w:rsidP="0057782B">
            <w:r>
              <w:t>2 § (delvis)</w:t>
            </w:r>
          </w:p>
        </w:tc>
        <w:tc>
          <w:tcPr>
            <w:tcW w:w="8604" w:type="dxa"/>
          </w:tcPr>
          <w:p w14:paraId="723AF754" w14:textId="309AD2F6" w:rsidR="00E022D3" w:rsidRPr="009D6575" w:rsidRDefault="0045462F" w:rsidP="00E022D3">
            <w:pPr>
              <w:rPr>
                <w:color w:val="000000"/>
              </w:rPr>
            </w:pPr>
            <w:r>
              <w:t xml:space="preserve">Direktivet </w:t>
            </w:r>
            <w:r w:rsidR="00953743">
              <w:t xml:space="preserve">har </w:t>
            </w:r>
            <w:r>
              <w:t>44 definitioner</w:t>
            </w:r>
            <w:r w:rsidR="00953743">
              <w:t>, vissa med</w:t>
            </w:r>
            <w:r>
              <w:t xml:space="preserve"> koppling till EU-direktiv </w:t>
            </w:r>
            <w:proofErr w:type="spellStart"/>
            <w:r w:rsidRPr="00953743">
              <w:rPr>
                <w:b/>
                <w:bCs/>
                <w:highlight w:val="yellow"/>
              </w:rPr>
              <w:t>Prop</w:t>
            </w:r>
            <w:proofErr w:type="spellEnd"/>
            <w:r w:rsidRPr="00953743">
              <w:rPr>
                <w:b/>
                <w:bCs/>
                <w:highlight w:val="yellow"/>
              </w:rPr>
              <w:t xml:space="preserve"> Ord och uttryck 32 som inte överensstämmer med direktivet, olika ord och uttryck samt även stora skillnader i </w:t>
            </w:r>
            <w:r w:rsidR="001F4A14" w:rsidRPr="00953743">
              <w:rPr>
                <w:b/>
                <w:bCs/>
                <w:highlight w:val="yellow"/>
              </w:rPr>
              <w:t>text. T</w:t>
            </w:r>
            <w:r w:rsidRPr="00953743">
              <w:rPr>
                <w:b/>
                <w:bCs/>
                <w:highlight w:val="yellow"/>
              </w:rPr>
              <w:t>ill exempel e-bok</w:t>
            </w:r>
            <w:r w:rsidR="0070531D">
              <w:t xml:space="preserve"> </w:t>
            </w:r>
            <w:r w:rsidR="00E022D3">
              <w:t xml:space="preserve">beskrivs både i skälen och i artikel </w:t>
            </w:r>
            <w:r w:rsidR="00C84B3C">
              <w:t>3</w:t>
            </w:r>
            <w:r w:rsidR="00E022D3">
              <w:t xml:space="preserve"> </w:t>
            </w:r>
            <w:r w:rsidR="0070531D">
              <w:t>i direktivet</w:t>
            </w:r>
            <w:r w:rsidR="00C84B3C">
              <w:t xml:space="preserve"> står det</w:t>
            </w:r>
            <w:r w:rsidR="001223DB">
              <w:t xml:space="preserve"> i definition 41</w:t>
            </w:r>
            <w:r w:rsidR="00E022D3" w:rsidRPr="00E23804">
              <w:t xml:space="preserve">; </w:t>
            </w:r>
            <w:r w:rsidR="00E022D3" w:rsidRPr="00E23804">
              <w:rPr>
                <w:rStyle w:val="italic"/>
                <w:i/>
                <w:iCs/>
                <w:color w:val="000000"/>
              </w:rPr>
              <w:t>e-bok och ändamålsenlig programvara</w:t>
            </w:r>
            <w:r w:rsidR="00E022D3" w:rsidRPr="00E23804">
              <w:rPr>
                <w:color w:val="000000"/>
              </w:rPr>
              <w:t>: en tjänst som inbegriper tillhandahållande av digitala filer som innehåller en elektronisk version av en bok som en person kan disponera, navigera i, läsa och använda, samt den särskilda programvaran, inklusive tjänster för mobila enheter, inklusive mobila applikationer, för att disponera, navigera i, läsa och använda dessa digitala filer, och det omfattar inte programvara som omfattas av definitionen i led 42.</w:t>
            </w:r>
            <w:r w:rsidR="001223DB">
              <w:rPr>
                <w:color w:val="000000"/>
              </w:rPr>
              <w:t xml:space="preserve"> (Definition 42 rör läsplatta).</w:t>
            </w:r>
          </w:p>
          <w:p w14:paraId="64E51D28" w14:textId="59A01D10" w:rsidR="009143E1" w:rsidRPr="00A25254" w:rsidRDefault="00E23804" w:rsidP="00594098">
            <w:r>
              <w:t xml:space="preserve">I </w:t>
            </w:r>
            <w:proofErr w:type="spellStart"/>
            <w:r>
              <w:t>prop</w:t>
            </w:r>
            <w:proofErr w:type="spellEnd"/>
            <w:r>
              <w:t xml:space="preserve"> artikel 2 står det; </w:t>
            </w:r>
            <w:r w:rsidR="0070531D" w:rsidRPr="004A2193">
              <w:rPr>
                <w:i/>
                <w:iCs/>
              </w:rPr>
              <w:t>e-bok</w:t>
            </w:r>
            <w:r w:rsidR="0070531D">
              <w:rPr>
                <w:i/>
                <w:iCs/>
              </w:rPr>
              <w:t>:</w:t>
            </w:r>
            <w:r w:rsidR="0070531D">
              <w:t xml:space="preserve"> tjänst som innefattar ett tillhandahållande av digitala filer som innehåller en elektronisk version av en bok som mestadels finns som text eller i grafisk form</w:t>
            </w:r>
            <w:r w:rsidR="009143E1">
              <w:t>,</w:t>
            </w:r>
          </w:p>
        </w:tc>
      </w:tr>
      <w:tr w:rsidR="009F7DC8" w14:paraId="1BAA3E67" w14:textId="77777777" w:rsidTr="004B47A0">
        <w:tc>
          <w:tcPr>
            <w:tcW w:w="2174" w:type="dxa"/>
          </w:tcPr>
          <w:p w14:paraId="797E6381" w14:textId="64D5FFDE" w:rsidR="0045462F" w:rsidRPr="00A25254" w:rsidRDefault="0045462F" w:rsidP="0057782B">
            <w:r>
              <w:t>4 tillgänglig-hetskrav</w:t>
            </w:r>
          </w:p>
        </w:tc>
        <w:tc>
          <w:tcPr>
            <w:tcW w:w="3216" w:type="dxa"/>
          </w:tcPr>
          <w:p w14:paraId="5123EC57" w14:textId="1C9F1684" w:rsidR="0045462F" w:rsidRDefault="0045462F" w:rsidP="0057782B">
            <w:r>
              <w:t>6, 7, 8, 9, 10 § (delvis)</w:t>
            </w:r>
          </w:p>
        </w:tc>
        <w:tc>
          <w:tcPr>
            <w:tcW w:w="8604" w:type="dxa"/>
          </w:tcPr>
          <w:p w14:paraId="6A2EACDB" w14:textId="02ADF5B5" w:rsidR="0045462F" w:rsidRPr="00A25254" w:rsidRDefault="0045462F" w:rsidP="0057782B">
            <w:r>
              <w:t xml:space="preserve">Direktivet har </w:t>
            </w:r>
            <w:proofErr w:type="gramStart"/>
            <w:r>
              <w:t>9 stycken</w:t>
            </w:r>
            <w:proofErr w:type="gramEnd"/>
            <w:r>
              <w:t xml:space="preserve"> med hänvisning detaljer i bilagor med själva kraven – dvs tillgänglighetskraven som utgör huvudsakliga innehållet i direktivet. </w:t>
            </w:r>
            <w:proofErr w:type="spellStart"/>
            <w:r>
              <w:t>Prop</w:t>
            </w:r>
            <w:proofErr w:type="spellEnd"/>
            <w:r>
              <w:t xml:space="preserve"> § 6 innehåller 3 stycken om kraven </w:t>
            </w:r>
            <w:r>
              <w:rPr>
                <w:b/>
                <w:bCs/>
                <w:highlight w:val="yellow"/>
              </w:rPr>
              <w:t>utan</w:t>
            </w:r>
            <w:r w:rsidRPr="005056D2">
              <w:rPr>
                <w:b/>
                <w:bCs/>
                <w:highlight w:val="yellow"/>
              </w:rPr>
              <w:t xml:space="preserve"> hänvisning till bilaga, istället </w:t>
            </w:r>
            <w:r>
              <w:rPr>
                <w:b/>
                <w:bCs/>
                <w:highlight w:val="yellow"/>
              </w:rPr>
              <w:t xml:space="preserve">”tillämpliga rättsakter”, </w:t>
            </w:r>
            <w:proofErr w:type="gramStart"/>
            <w:r>
              <w:rPr>
                <w:b/>
                <w:bCs/>
                <w:highlight w:val="yellow"/>
              </w:rPr>
              <w:t>11-13</w:t>
            </w:r>
            <w:proofErr w:type="gramEnd"/>
            <w:r>
              <w:rPr>
                <w:b/>
                <w:bCs/>
                <w:highlight w:val="yellow"/>
              </w:rPr>
              <w:t>, 15, 16 eller 25§ och</w:t>
            </w:r>
            <w:r w:rsidRPr="005056D2">
              <w:rPr>
                <w:b/>
                <w:bCs/>
                <w:highlight w:val="yellow"/>
              </w:rPr>
              <w:t xml:space="preserve"> föreskriftsrätt</w:t>
            </w:r>
            <w:r>
              <w:rPr>
                <w:b/>
                <w:bCs/>
              </w:rPr>
              <w:t xml:space="preserve">. Däremot finns detaljer om undantagen i direktivet inklusive § 14 och bilaga VI ett större utrymme och flyttas från bilagan till paragraf § 7 och 8, överensstämmelse med koppling till standarder direktivet § 15 </w:t>
            </w:r>
            <w:r w:rsidR="00A22FD8">
              <w:rPr>
                <w:b/>
                <w:bCs/>
              </w:rPr>
              <w:t xml:space="preserve">och 25 </w:t>
            </w:r>
            <w:r>
              <w:rPr>
                <w:b/>
                <w:bCs/>
              </w:rPr>
              <w:t>flyttas till § 9 (trots att det är kraven i bilagorna som gäller oavsett när det finns standarder), undantag för mikroföretag § 10.</w:t>
            </w:r>
            <w:r w:rsidR="00D12126">
              <w:rPr>
                <w:b/>
                <w:bCs/>
              </w:rPr>
              <w:t xml:space="preserve"> Bilagor finns i dansk lag.</w:t>
            </w:r>
          </w:p>
        </w:tc>
      </w:tr>
      <w:tr w:rsidR="009F7DC8" w14:paraId="3C60148C" w14:textId="77777777" w:rsidTr="004B47A0">
        <w:tc>
          <w:tcPr>
            <w:tcW w:w="2174" w:type="dxa"/>
          </w:tcPr>
          <w:p w14:paraId="5F239A91" w14:textId="3BA702E0" w:rsidR="0045462F" w:rsidRPr="00A25254" w:rsidRDefault="0045462F" w:rsidP="0057782B">
            <w:r>
              <w:t>5 person</w:t>
            </w:r>
            <w:r w:rsidR="00D447A9">
              <w:t>-</w:t>
            </w:r>
            <w:r>
              <w:t>transporter</w:t>
            </w:r>
          </w:p>
        </w:tc>
        <w:tc>
          <w:tcPr>
            <w:tcW w:w="3216" w:type="dxa"/>
          </w:tcPr>
          <w:p w14:paraId="79E10C89" w14:textId="07672FBD" w:rsidR="0045462F" w:rsidRPr="00A25254" w:rsidRDefault="00D447A9" w:rsidP="0057782B">
            <w:r>
              <w:t>2 § (delvis)</w:t>
            </w:r>
          </w:p>
        </w:tc>
        <w:tc>
          <w:tcPr>
            <w:tcW w:w="8604" w:type="dxa"/>
          </w:tcPr>
          <w:p w14:paraId="49AAE6AB" w14:textId="7F96F2C0" w:rsidR="0045462F" w:rsidRPr="00A25254" w:rsidRDefault="0045462F" w:rsidP="0057782B">
            <w:r>
              <w:t>Direktivet hänvisar till f</w:t>
            </w:r>
            <w:r>
              <w:rPr>
                <w:color w:val="000000"/>
                <w:shd w:val="clear" w:color="auto" w:fill="FFFFFF"/>
              </w:rPr>
              <w:t>örordningarna (EG) nr 261/2004, (EG) nr 1107/2006, (EG) nr 1371/2007, (EU) nr 1177/2010 och (EU) nr 181/2011 och relevanta akter som antagits på grundval av direktiv 2008/57/EG.</w:t>
            </w:r>
          </w:p>
        </w:tc>
      </w:tr>
      <w:tr w:rsidR="009F7DC8" w:rsidRPr="00C93E0B" w14:paraId="452BA3C8" w14:textId="77777777" w:rsidTr="004B47A0">
        <w:tc>
          <w:tcPr>
            <w:tcW w:w="2174" w:type="dxa"/>
          </w:tcPr>
          <w:p w14:paraId="07120B96" w14:textId="188B6993" w:rsidR="0045462F" w:rsidRPr="00A25254" w:rsidRDefault="0045462F" w:rsidP="0057782B">
            <w:r>
              <w:t>6 Fri rörlighet</w:t>
            </w:r>
          </w:p>
        </w:tc>
        <w:tc>
          <w:tcPr>
            <w:tcW w:w="3216" w:type="dxa"/>
          </w:tcPr>
          <w:p w14:paraId="461E9EAD" w14:textId="53DBB17F" w:rsidR="0045462F" w:rsidRPr="00150D1B" w:rsidRDefault="0045462F" w:rsidP="0057782B">
            <w:pPr>
              <w:rPr>
                <w:lang w:val="en-GB"/>
              </w:rPr>
            </w:pPr>
            <w:proofErr w:type="spellStart"/>
            <w:r>
              <w:rPr>
                <w:lang w:val="en-GB"/>
              </w:rPr>
              <w:t>Oklart</w:t>
            </w:r>
            <w:proofErr w:type="spellEnd"/>
            <w:r>
              <w:rPr>
                <w:lang w:val="en-GB"/>
              </w:rPr>
              <w:t xml:space="preserve"> om </w:t>
            </w:r>
            <w:proofErr w:type="spellStart"/>
            <w:r>
              <w:rPr>
                <w:lang w:val="en-GB"/>
              </w:rPr>
              <w:t>motsvarighet</w:t>
            </w:r>
            <w:proofErr w:type="spellEnd"/>
          </w:p>
        </w:tc>
        <w:tc>
          <w:tcPr>
            <w:tcW w:w="8604" w:type="dxa"/>
          </w:tcPr>
          <w:p w14:paraId="0A14D445" w14:textId="77777777" w:rsidR="0045462F" w:rsidRDefault="0045462F" w:rsidP="00894F0D">
            <w:pPr>
              <w:pStyle w:val="Normal1"/>
              <w:shd w:val="clear" w:color="auto" w:fill="FFFFFF"/>
              <w:spacing w:before="120" w:beforeAutospacing="0" w:after="0" w:afterAutospacing="0"/>
              <w:rPr>
                <w:rFonts w:ascii="Book Antiqua" w:eastAsia="Calibri" w:hAnsi="Book Antiqua" w:cs="Arial"/>
              </w:rPr>
            </w:pPr>
            <w:r>
              <w:rPr>
                <w:rFonts w:ascii="Book Antiqua" w:eastAsia="Calibri" w:hAnsi="Book Antiqua" w:cs="Arial"/>
              </w:rPr>
              <w:t xml:space="preserve">Direktivet: </w:t>
            </w:r>
            <w:r w:rsidRPr="005D53B4">
              <w:rPr>
                <w:rFonts w:ascii="Book Antiqua" w:eastAsia="Calibri" w:hAnsi="Book Antiqua" w:cs="Arial"/>
              </w:rPr>
              <w:t>Medlemsstaterna får inte, av skäl som har att göra med tillgänglighetskraven, förhindra att produkter eller tjänster som överensstämmer med detta direktiv tillhandahålls på marknaden inom deras territorium.</w:t>
            </w:r>
          </w:p>
          <w:p w14:paraId="1FBA3262" w14:textId="12198CE0" w:rsidR="00D91B5A" w:rsidRPr="00C93E0B" w:rsidRDefault="00D91B5A" w:rsidP="00894F0D">
            <w:pPr>
              <w:pStyle w:val="Normal1"/>
              <w:shd w:val="clear" w:color="auto" w:fill="FFFFFF"/>
              <w:spacing w:before="120" w:beforeAutospacing="0" w:after="0" w:afterAutospacing="0"/>
            </w:pPr>
            <w:r w:rsidRPr="00217DE1">
              <w:rPr>
                <w:rFonts w:ascii="Book Antiqua" w:eastAsia="Calibri" w:hAnsi="Book Antiqua" w:cs="Arial"/>
              </w:rPr>
              <w:t>E</w:t>
            </w:r>
            <w:r w:rsidR="00E60267" w:rsidRPr="00217DE1">
              <w:rPr>
                <w:rFonts w:ascii="Book Antiqua" w:eastAsia="Calibri" w:hAnsi="Book Antiqua" w:cs="Arial"/>
              </w:rPr>
              <w:t xml:space="preserve">nligt propositionen </w:t>
            </w:r>
            <w:r w:rsidR="00217DE1" w:rsidRPr="00217DE1">
              <w:rPr>
                <w:rFonts w:ascii="Book Antiqua" w:eastAsia="Calibri" w:hAnsi="Book Antiqua" w:cs="Arial"/>
              </w:rPr>
              <w:t xml:space="preserve">(sid 30 sista stycket) </w:t>
            </w:r>
            <w:r w:rsidR="006C305B" w:rsidRPr="00217DE1">
              <w:rPr>
                <w:rFonts w:ascii="Book Antiqua" w:eastAsia="Calibri" w:hAnsi="Book Antiqua" w:cs="Arial"/>
              </w:rPr>
              <w:t>säger denna artikel att det är ett ”fullharmoniseringsdirektiv”</w:t>
            </w:r>
            <w:r w:rsidR="00217DE1" w:rsidRPr="00217DE1">
              <w:rPr>
                <w:rFonts w:ascii="Book Antiqua" w:eastAsia="Calibri" w:hAnsi="Book Antiqua" w:cs="Arial"/>
              </w:rPr>
              <w:t xml:space="preserve"> vilket i så fall skulle kunna ifrågasättas e</w:t>
            </w:r>
            <w:r w:rsidRPr="00217DE1">
              <w:rPr>
                <w:rFonts w:ascii="Book Antiqua" w:eastAsia="Calibri" w:hAnsi="Book Antiqua" w:cs="Arial"/>
              </w:rPr>
              <w:t xml:space="preserve">ftersom alla artiklar inte har motsvarighet i svensk lag, samt det finns begränsningar i tillämpning enligt propositionen kap 5.2 om </w:t>
            </w:r>
            <w:r w:rsidR="008C6B34" w:rsidRPr="00217DE1">
              <w:rPr>
                <w:rFonts w:ascii="Book Antiqua" w:eastAsia="Calibri" w:hAnsi="Book Antiqua" w:cs="Arial"/>
              </w:rPr>
              <w:t>förhållande till Tryckfrihetsförordningen och Yttrandefrihetsgrundlagen</w:t>
            </w:r>
            <w:r w:rsidR="00E60267" w:rsidRPr="00217DE1">
              <w:rPr>
                <w:rFonts w:ascii="Book Antiqua" w:eastAsia="Calibri" w:hAnsi="Book Antiqua" w:cs="Arial"/>
              </w:rPr>
              <w:t>.</w:t>
            </w:r>
          </w:p>
        </w:tc>
      </w:tr>
      <w:tr w:rsidR="009F7DC8" w:rsidRPr="00150D1B" w14:paraId="3508C9C6" w14:textId="77777777" w:rsidTr="004B47A0">
        <w:tc>
          <w:tcPr>
            <w:tcW w:w="2174" w:type="dxa"/>
          </w:tcPr>
          <w:p w14:paraId="70EC7637" w14:textId="3B1AFD72" w:rsidR="0045462F" w:rsidRDefault="0045462F" w:rsidP="0057782B">
            <w:r>
              <w:t>7 Tillverkare</w:t>
            </w:r>
          </w:p>
        </w:tc>
        <w:tc>
          <w:tcPr>
            <w:tcW w:w="3216" w:type="dxa"/>
          </w:tcPr>
          <w:p w14:paraId="6013A567" w14:textId="578E231D" w:rsidR="0045462F" w:rsidRPr="00150D1B" w:rsidRDefault="0045462F" w:rsidP="0057782B">
            <w:pPr>
              <w:rPr>
                <w:lang w:val="en-GB"/>
              </w:rPr>
            </w:pPr>
            <w:r>
              <w:rPr>
                <w:lang w:val="en-GB"/>
              </w:rPr>
              <w:t>11, 12, 13</w:t>
            </w:r>
            <w:r w:rsidR="00823EDF">
              <w:rPr>
                <w:lang w:val="en-GB"/>
              </w:rPr>
              <w:t xml:space="preserve"> </w:t>
            </w:r>
            <w:proofErr w:type="spellStart"/>
            <w:r w:rsidR="00823EDF">
              <w:rPr>
                <w:lang w:val="en-GB"/>
              </w:rPr>
              <w:t>ev</w:t>
            </w:r>
            <w:proofErr w:type="spellEnd"/>
            <w:r w:rsidR="00823EDF">
              <w:rPr>
                <w:lang w:val="en-GB"/>
              </w:rPr>
              <w:t xml:space="preserve"> 22, 23</w:t>
            </w:r>
            <w:r>
              <w:rPr>
                <w:lang w:val="en-GB"/>
              </w:rPr>
              <w:t xml:space="preserve"> § (</w:t>
            </w:r>
            <w:proofErr w:type="spellStart"/>
            <w:r>
              <w:rPr>
                <w:lang w:val="en-GB"/>
              </w:rPr>
              <w:t>delvis</w:t>
            </w:r>
            <w:proofErr w:type="spellEnd"/>
            <w:r>
              <w:rPr>
                <w:lang w:val="en-GB"/>
              </w:rPr>
              <w:t>)</w:t>
            </w:r>
          </w:p>
        </w:tc>
        <w:tc>
          <w:tcPr>
            <w:tcW w:w="8604" w:type="dxa"/>
          </w:tcPr>
          <w:p w14:paraId="6CBD4B90" w14:textId="71824862" w:rsidR="0045462F" w:rsidRPr="006C0E52" w:rsidRDefault="0045462F" w:rsidP="0057782B">
            <w:r w:rsidRPr="00EA070B">
              <w:t xml:space="preserve">Direktivet innehåller </w:t>
            </w:r>
            <w:proofErr w:type="gramStart"/>
            <w:r w:rsidRPr="00EA070B">
              <w:t>9 stycken</w:t>
            </w:r>
            <w:proofErr w:type="gramEnd"/>
            <w:r>
              <w:t xml:space="preserve">. </w:t>
            </w:r>
            <w:proofErr w:type="spellStart"/>
            <w:r>
              <w:t>P</w:t>
            </w:r>
            <w:r w:rsidRPr="00EA070B">
              <w:t>rop</w:t>
            </w:r>
            <w:proofErr w:type="spellEnd"/>
            <w:r>
              <w:t xml:space="preserve"> kortare och indelad i </w:t>
            </w:r>
            <w:r w:rsidR="00823EDF">
              <w:t>flera</w:t>
            </w:r>
            <w:r>
              <w:t xml:space="preserve"> olika paragrafer som alla hänvisar till föreskriftsrätt inte till krav i direktivet förutom när det gäller krav som rör CE-märkning (§12). </w:t>
            </w:r>
            <w:r>
              <w:rPr>
                <w:b/>
              </w:rPr>
              <w:t>B</w:t>
            </w:r>
            <w:r w:rsidRPr="006C0E52">
              <w:rPr>
                <w:b/>
                <w:bCs/>
                <w:highlight w:val="yellow"/>
              </w:rPr>
              <w:t xml:space="preserve">land annat </w:t>
            </w:r>
            <w:r>
              <w:rPr>
                <w:b/>
                <w:bCs/>
                <w:highlight w:val="yellow"/>
              </w:rPr>
              <w:t xml:space="preserve">saknas text i direktivets artikel 7 som rör </w:t>
            </w:r>
            <w:r w:rsidRPr="006C0E52">
              <w:rPr>
                <w:b/>
                <w:bCs/>
                <w:color w:val="000000"/>
                <w:highlight w:val="yellow"/>
                <w:shd w:val="clear" w:color="auto" w:fill="FFFFFF"/>
              </w:rPr>
              <w:t>bruksanvisningar, säkerhetsföreskrifter, märkning som ska vara på ett språk som är tydligt och lättbegripligt för konsumenter och andra slutanvändare.</w:t>
            </w:r>
            <w:r>
              <w:rPr>
                <w:b/>
                <w:bCs/>
                <w:color w:val="000000"/>
                <w:shd w:val="clear" w:color="auto" w:fill="FFFFFF"/>
              </w:rPr>
              <w:t xml:space="preserve"> </w:t>
            </w:r>
            <w:proofErr w:type="spellStart"/>
            <w:r w:rsidR="00823EDF" w:rsidRPr="00991349">
              <w:rPr>
                <w:color w:val="000000"/>
                <w:shd w:val="clear" w:color="auto" w:fill="FFFFFF"/>
              </w:rPr>
              <w:t>Prop</w:t>
            </w:r>
            <w:proofErr w:type="spellEnd"/>
            <w:r w:rsidR="00823EDF" w:rsidRPr="00991349">
              <w:rPr>
                <w:color w:val="000000"/>
                <w:shd w:val="clear" w:color="auto" w:fill="FFFFFF"/>
              </w:rPr>
              <w:t xml:space="preserve"> § 22 lyfter </w:t>
            </w:r>
            <w:r w:rsidR="00991349" w:rsidRPr="00991349">
              <w:rPr>
                <w:color w:val="000000"/>
                <w:shd w:val="clear" w:color="auto" w:fill="FFFFFF"/>
              </w:rPr>
              <w:t>”</w:t>
            </w:r>
            <w:r w:rsidR="00991349" w:rsidRPr="00991349">
              <w:t>information på ett språk som lätt kan förstås av myndigheten”</w:t>
            </w:r>
            <w:r w:rsidRPr="00991349">
              <w:rPr>
                <w:color w:val="000000"/>
                <w:shd w:val="clear" w:color="auto" w:fill="FFFFFF"/>
              </w:rPr>
              <w:t xml:space="preserve"> Finns fler skillnader som kan behöva granskas närmare.</w:t>
            </w:r>
          </w:p>
        </w:tc>
      </w:tr>
      <w:tr w:rsidR="009F7DC8" w:rsidRPr="007C6A15" w14:paraId="074047FE" w14:textId="77777777" w:rsidTr="004B47A0">
        <w:tc>
          <w:tcPr>
            <w:tcW w:w="2174" w:type="dxa"/>
          </w:tcPr>
          <w:p w14:paraId="79B336CF" w14:textId="2459BBE1" w:rsidR="0045462F" w:rsidRDefault="0045462F" w:rsidP="0057782B">
            <w:r>
              <w:t>8 bemyndigad företrädare</w:t>
            </w:r>
          </w:p>
        </w:tc>
        <w:tc>
          <w:tcPr>
            <w:tcW w:w="3216" w:type="dxa"/>
          </w:tcPr>
          <w:p w14:paraId="25DC413D" w14:textId="4D49E240" w:rsidR="0045462F" w:rsidRPr="00D5516E" w:rsidRDefault="0045462F" w:rsidP="0057782B">
            <w:pPr>
              <w:rPr>
                <w:lang w:val="en-GB"/>
              </w:rPr>
            </w:pPr>
            <w:r>
              <w:rPr>
                <w:lang w:val="en-GB"/>
              </w:rPr>
              <w:t>14 § (</w:t>
            </w:r>
            <w:proofErr w:type="spellStart"/>
            <w:r>
              <w:rPr>
                <w:lang w:val="en-GB"/>
              </w:rPr>
              <w:t>delvis</w:t>
            </w:r>
            <w:proofErr w:type="spellEnd"/>
            <w:r>
              <w:rPr>
                <w:lang w:val="en-GB"/>
              </w:rPr>
              <w:t>)</w:t>
            </w:r>
          </w:p>
        </w:tc>
        <w:tc>
          <w:tcPr>
            <w:tcW w:w="8604" w:type="dxa"/>
          </w:tcPr>
          <w:p w14:paraId="0DBF8439" w14:textId="2E89FEA8" w:rsidR="0045462F" w:rsidRPr="007C6A15" w:rsidRDefault="0045462F" w:rsidP="0057782B">
            <w:r w:rsidRPr="007C6A15">
              <w:t>Direktivet handlar om fullmakt f</w:t>
            </w:r>
            <w:r>
              <w:t xml:space="preserve">ör tillverkare till så kallad bemyndigad företrädare och vad som gäller. </w:t>
            </w:r>
            <w:proofErr w:type="spellStart"/>
            <w:r>
              <w:t>Prop</w:t>
            </w:r>
            <w:proofErr w:type="spellEnd"/>
            <w:r>
              <w:t xml:space="preserve"> kortade med andra begrepp.</w:t>
            </w:r>
          </w:p>
        </w:tc>
      </w:tr>
      <w:tr w:rsidR="009F7DC8" w:rsidRPr="00D5516E" w14:paraId="1DA947D1" w14:textId="77777777" w:rsidTr="004B47A0">
        <w:tc>
          <w:tcPr>
            <w:tcW w:w="2174" w:type="dxa"/>
          </w:tcPr>
          <w:p w14:paraId="31778E18" w14:textId="16B5D7F1" w:rsidR="0045462F" w:rsidRPr="007C6A15" w:rsidRDefault="0045462F" w:rsidP="0057782B">
            <w:r>
              <w:t>9 importörer</w:t>
            </w:r>
          </w:p>
        </w:tc>
        <w:tc>
          <w:tcPr>
            <w:tcW w:w="3216" w:type="dxa"/>
          </w:tcPr>
          <w:p w14:paraId="6B972052" w14:textId="302F56C6" w:rsidR="0045462F" w:rsidRPr="00D5516E" w:rsidRDefault="0045462F" w:rsidP="0057782B">
            <w:pPr>
              <w:rPr>
                <w:lang w:val="en-GB"/>
              </w:rPr>
            </w:pPr>
            <w:r>
              <w:rPr>
                <w:lang w:val="en-GB"/>
              </w:rPr>
              <w:t xml:space="preserve">15, 16, 17, 18 </w:t>
            </w:r>
            <w:proofErr w:type="spellStart"/>
            <w:r w:rsidR="00823EDF">
              <w:rPr>
                <w:lang w:val="en-GB"/>
              </w:rPr>
              <w:t>ev</w:t>
            </w:r>
            <w:proofErr w:type="spellEnd"/>
            <w:r w:rsidR="00823EDF">
              <w:rPr>
                <w:lang w:val="en-GB"/>
              </w:rPr>
              <w:t xml:space="preserve"> 22, 23 </w:t>
            </w:r>
            <w:r>
              <w:rPr>
                <w:lang w:val="en-GB"/>
              </w:rPr>
              <w:t>§</w:t>
            </w:r>
            <w:r w:rsidR="00A31989">
              <w:rPr>
                <w:lang w:val="en-GB"/>
              </w:rPr>
              <w:t xml:space="preserve"> </w:t>
            </w:r>
            <w:r>
              <w:rPr>
                <w:lang w:val="en-GB"/>
              </w:rPr>
              <w:t>(</w:t>
            </w:r>
            <w:proofErr w:type="spellStart"/>
            <w:r>
              <w:rPr>
                <w:lang w:val="en-GB"/>
              </w:rPr>
              <w:t>delvis</w:t>
            </w:r>
            <w:proofErr w:type="spellEnd"/>
            <w:r>
              <w:rPr>
                <w:lang w:val="en-GB"/>
              </w:rPr>
              <w:t>)</w:t>
            </w:r>
          </w:p>
        </w:tc>
        <w:tc>
          <w:tcPr>
            <w:tcW w:w="8604" w:type="dxa"/>
          </w:tcPr>
          <w:p w14:paraId="1FBFD709" w14:textId="6B387B68" w:rsidR="0045462F" w:rsidRPr="00333BB3" w:rsidRDefault="0045462F" w:rsidP="0057782B">
            <w:r w:rsidRPr="00EA070B">
              <w:t xml:space="preserve">Direktivet innehåller </w:t>
            </w:r>
            <w:proofErr w:type="gramStart"/>
            <w:r w:rsidRPr="00EA070B">
              <w:t>9 stycken</w:t>
            </w:r>
            <w:proofErr w:type="gramEnd"/>
            <w:r>
              <w:t xml:space="preserve">. </w:t>
            </w:r>
            <w:proofErr w:type="spellStart"/>
            <w:r>
              <w:t>P</w:t>
            </w:r>
            <w:r w:rsidRPr="00EA070B">
              <w:t>rop</w:t>
            </w:r>
            <w:proofErr w:type="spellEnd"/>
            <w:r>
              <w:t xml:space="preserve"> har </w:t>
            </w:r>
            <w:r w:rsidR="00823EDF">
              <w:t>flera</w:t>
            </w:r>
            <w:r>
              <w:t xml:space="preserve"> paragrafer som rör både importörer och distributörer även här hänvisning till föreskriftsrätt och det </w:t>
            </w:r>
            <w:r w:rsidRPr="00173A31">
              <w:rPr>
                <w:b/>
                <w:bCs/>
                <w:highlight w:val="yellow"/>
              </w:rPr>
              <w:t>saknas betoning på</w:t>
            </w:r>
            <w:r w:rsidR="00894F0D">
              <w:rPr>
                <w:b/>
                <w:bCs/>
                <w:highlight w:val="yellow"/>
              </w:rPr>
              <w:t xml:space="preserve"> </w:t>
            </w:r>
            <w:r w:rsidRPr="00173A31">
              <w:rPr>
                <w:b/>
                <w:bCs/>
                <w:color w:val="000000"/>
                <w:highlight w:val="yellow"/>
                <w:shd w:val="clear" w:color="auto" w:fill="FFFFFF"/>
              </w:rPr>
              <w:t>dokument och av bruksanvisningar och säkerhetsföreskrifter på ett språk som lätt kan förstås av konsumenterna och andra slutanvändare i medlemsstaten</w:t>
            </w:r>
            <w:r w:rsidRPr="00173A31">
              <w:rPr>
                <w:color w:val="000000"/>
                <w:highlight w:val="yellow"/>
                <w:shd w:val="clear" w:color="auto" w:fill="FFFFFF"/>
              </w:rPr>
              <w:t>.</w:t>
            </w:r>
            <w:r>
              <w:rPr>
                <w:color w:val="000000"/>
                <w:shd w:val="clear" w:color="auto" w:fill="FFFFFF"/>
              </w:rPr>
              <w:t xml:space="preserve"> </w:t>
            </w:r>
            <w:proofErr w:type="spellStart"/>
            <w:r w:rsidR="00991349" w:rsidRPr="00991349">
              <w:rPr>
                <w:color w:val="000000"/>
                <w:shd w:val="clear" w:color="auto" w:fill="FFFFFF"/>
              </w:rPr>
              <w:t>Prop</w:t>
            </w:r>
            <w:proofErr w:type="spellEnd"/>
            <w:r w:rsidR="00991349" w:rsidRPr="00991349">
              <w:rPr>
                <w:color w:val="000000"/>
                <w:shd w:val="clear" w:color="auto" w:fill="FFFFFF"/>
              </w:rPr>
              <w:t xml:space="preserve"> § 22 lyfter ”</w:t>
            </w:r>
            <w:r w:rsidR="00991349" w:rsidRPr="00991349">
              <w:t>information på ett språk som lätt kan förstås av myndigheten”</w:t>
            </w:r>
            <w:r w:rsidR="00991349" w:rsidRPr="00991349">
              <w:rPr>
                <w:color w:val="000000"/>
                <w:shd w:val="clear" w:color="auto" w:fill="FFFFFF"/>
              </w:rPr>
              <w:t xml:space="preserve"> Finns fler skillnader som kan behöva granskas närmare.</w:t>
            </w:r>
          </w:p>
        </w:tc>
      </w:tr>
      <w:tr w:rsidR="009F7DC8" w:rsidRPr="00D5516E" w14:paraId="46504871" w14:textId="77777777" w:rsidTr="004B47A0">
        <w:tc>
          <w:tcPr>
            <w:tcW w:w="2174" w:type="dxa"/>
          </w:tcPr>
          <w:p w14:paraId="5569D9E9" w14:textId="0B8115AF" w:rsidR="0045462F" w:rsidRDefault="0045462F" w:rsidP="0057782B">
            <w:r>
              <w:t>10 distributörer</w:t>
            </w:r>
          </w:p>
        </w:tc>
        <w:tc>
          <w:tcPr>
            <w:tcW w:w="3216" w:type="dxa"/>
          </w:tcPr>
          <w:p w14:paraId="3165DEC0" w14:textId="01105D45" w:rsidR="0045462F" w:rsidRPr="00A25254" w:rsidRDefault="0045462F" w:rsidP="0057782B">
            <w:r>
              <w:rPr>
                <w:lang w:val="en-GB"/>
              </w:rPr>
              <w:t>15, 16, 17, 18</w:t>
            </w:r>
            <w:r w:rsidR="00823EDF">
              <w:rPr>
                <w:lang w:val="en-GB"/>
              </w:rPr>
              <w:t xml:space="preserve"> </w:t>
            </w:r>
            <w:proofErr w:type="spellStart"/>
            <w:r w:rsidR="00823EDF">
              <w:rPr>
                <w:lang w:val="en-GB"/>
              </w:rPr>
              <w:t>ev</w:t>
            </w:r>
            <w:proofErr w:type="spellEnd"/>
            <w:r w:rsidR="00823EDF">
              <w:rPr>
                <w:lang w:val="en-GB"/>
              </w:rPr>
              <w:t xml:space="preserve"> 22, 34</w:t>
            </w:r>
            <w:r>
              <w:rPr>
                <w:lang w:val="en-GB"/>
              </w:rPr>
              <w:t xml:space="preserve"> § (</w:t>
            </w:r>
            <w:proofErr w:type="spellStart"/>
            <w:r>
              <w:rPr>
                <w:lang w:val="en-GB"/>
              </w:rPr>
              <w:t>delvis</w:t>
            </w:r>
            <w:proofErr w:type="spellEnd"/>
            <w:r>
              <w:rPr>
                <w:lang w:val="en-GB"/>
              </w:rPr>
              <w:t>)</w:t>
            </w:r>
          </w:p>
        </w:tc>
        <w:tc>
          <w:tcPr>
            <w:tcW w:w="8604" w:type="dxa"/>
          </w:tcPr>
          <w:p w14:paraId="2C1F42BE" w14:textId="562E5382" w:rsidR="0045462F" w:rsidRPr="00823EDF" w:rsidRDefault="0045462F" w:rsidP="0057782B">
            <w:r w:rsidRPr="00EA070B">
              <w:t xml:space="preserve">Direktivet innehåller </w:t>
            </w:r>
            <w:proofErr w:type="gramStart"/>
            <w:r>
              <w:t>6</w:t>
            </w:r>
            <w:r w:rsidRPr="00EA070B">
              <w:t xml:space="preserve"> stycken</w:t>
            </w:r>
            <w:proofErr w:type="gramEnd"/>
            <w:r>
              <w:t xml:space="preserve">. </w:t>
            </w:r>
            <w:proofErr w:type="spellStart"/>
            <w:r>
              <w:t>P</w:t>
            </w:r>
            <w:r w:rsidRPr="00EA070B">
              <w:t>rop</w:t>
            </w:r>
            <w:proofErr w:type="spellEnd"/>
            <w:r>
              <w:t xml:space="preserve"> har </w:t>
            </w:r>
            <w:r w:rsidR="00823EDF">
              <w:t>flera</w:t>
            </w:r>
            <w:r>
              <w:t xml:space="preserve"> paragrafer som rör både importörer och distributörer även här hänvisning till föreskriftsrätt och det </w:t>
            </w:r>
            <w:r w:rsidRPr="00173A31">
              <w:rPr>
                <w:b/>
                <w:bCs/>
                <w:highlight w:val="yellow"/>
              </w:rPr>
              <w:t>saknas betoning på</w:t>
            </w:r>
            <w:r w:rsidRPr="00173A31">
              <w:rPr>
                <w:b/>
                <w:bCs/>
                <w:color w:val="000000"/>
                <w:highlight w:val="yellow"/>
                <w:shd w:val="clear" w:color="auto" w:fill="FFFFFF"/>
              </w:rPr>
              <w:t> dokument och av bruksanvisningar och säkerhetsföreskrifter på ett språk som lätt kan förstås av konsumenterna och andra slutanvändare i medlemsstaten</w:t>
            </w:r>
            <w:r w:rsidRPr="00173A31">
              <w:rPr>
                <w:color w:val="000000"/>
                <w:highlight w:val="yellow"/>
                <w:shd w:val="clear" w:color="auto" w:fill="FFFFFF"/>
              </w:rPr>
              <w:t>.</w:t>
            </w:r>
            <w:r>
              <w:rPr>
                <w:color w:val="000000"/>
                <w:shd w:val="clear" w:color="auto" w:fill="FFFFFF"/>
              </w:rPr>
              <w:t xml:space="preserve"> </w:t>
            </w:r>
            <w:proofErr w:type="spellStart"/>
            <w:r w:rsidR="00991349" w:rsidRPr="00991349">
              <w:rPr>
                <w:color w:val="000000"/>
                <w:shd w:val="clear" w:color="auto" w:fill="FFFFFF"/>
              </w:rPr>
              <w:t>Prop</w:t>
            </w:r>
            <w:proofErr w:type="spellEnd"/>
            <w:r w:rsidR="00991349" w:rsidRPr="00991349">
              <w:rPr>
                <w:color w:val="000000"/>
                <w:shd w:val="clear" w:color="auto" w:fill="FFFFFF"/>
              </w:rPr>
              <w:t xml:space="preserve"> § 22 lyfter ”</w:t>
            </w:r>
            <w:r w:rsidR="00991349" w:rsidRPr="00991349">
              <w:t>information på ett språk som lätt kan förstås av myndigheten”</w:t>
            </w:r>
            <w:r w:rsidR="00991349" w:rsidRPr="00991349">
              <w:rPr>
                <w:color w:val="000000"/>
                <w:shd w:val="clear" w:color="auto" w:fill="FFFFFF"/>
              </w:rPr>
              <w:t xml:space="preserve"> Finns fler skillnader som kan behöva granskas närmare.</w:t>
            </w:r>
          </w:p>
        </w:tc>
      </w:tr>
      <w:tr w:rsidR="009F7DC8" w:rsidRPr="00D5516E" w14:paraId="68328FAF" w14:textId="77777777" w:rsidTr="004B47A0">
        <w:tc>
          <w:tcPr>
            <w:tcW w:w="2174" w:type="dxa"/>
          </w:tcPr>
          <w:p w14:paraId="0A37FB7B" w14:textId="32D3FDFE" w:rsidR="0045462F" w:rsidRPr="00D5516E" w:rsidRDefault="0045462F" w:rsidP="0057782B">
            <w:pPr>
              <w:rPr>
                <w:lang w:val="en-GB"/>
              </w:rPr>
            </w:pPr>
            <w:r>
              <w:rPr>
                <w:lang w:val="en-GB"/>
              </w:rPr>
              <w:t>11</w:t>
            </w:r>
            <w:r w:rsidR="008174A6">
              <w:rPr>
                <w:lang w:val="en-GB"/>
              </w:rPr>
              <w:t xml:space="preserve"> Imp </w:t>
            </w:r>
            <w:proofErr w:type="spellStart"/>
            <w:r w:rsidR="008174A6">
              <w:rPr>
                <w:lang w:val="en-GB"/>
              </w:rPr>
              <w:t>Distr</w:t>
            </w:r>
            <w:proofErr w:type="spellEnd"/>
            <w:r w:rsidR="008174A6">
              <w:rPr>
                <w:lang w:val="en-GB"/>
              </w:rPr>
              <w:t xml:space="preserve"> </w:t>
            </w:r>
            <w:proofErr w:type="spellStart"/>
            <w:r w:rsidR="008174A6">
              <w:rPr>
                <w:lang w:val="en-GB"/>
              </w:rPr>
              <w:t>samma</w:t>
            </w:r>
            <w:proofErr w:type="spellEnd"/>
            <w:r w:rsidR="008174A6">
              <w:rPr>
                <w:lang w:val="en-GB"/>
              </w:rPr>
              <w:t xml:space="preserve"> </w:t>
            </w:r>
            <w:proofErr w:type="spellStart"/>
            <w:r w:rsidR="008174A6">
              <w:rPr>
                <w:lang w:val="en-GB"/>
              </w:rPr>
              <w:t>Tillv</w:t>
            </w:r>
            <w:proofErr w:type="spellEnd"/>
            <w:r>
              <w:rPr>
                <w:lang w:val="en-GB"/>
              </w:rPr>
              <w:t xml:space="preserve"> </w:t>
            </w:r>
          </w:p>
        </w:tc>
        <w:tc>
          <w:tcPr>
            <w:tcW w:w="3216" w:type="dxa"/>
          </w:tcPr>
          <w:p w14:paraId="340A7F8F" w14:textId="19741969" w:rsidR="0045462F" w:rsidRDefault="0045462F" w:rsidP="0057782B">
            <w:pPr>
              <w:rPr>
                <w:lang w:val="en-GB"/>
              </w:rPr>
            </w:pPr>
            <w:r>
              <w:rPr>
                <w:lang w:val="en-GB"/>
              </w:rPr>
              <w:t>18 § (</w:t>
            </w:r>
            <w:proofErr w:type="spellStart"/>
            <w:r>
              <w:rPr>
                <w:lang w:val="en-GB"/>
              </w:rPr>
              <w:t>delvis</w:t>
            </w:r>
            <w:proofErr w:type="spellEnd"/>
            <w:r>
              <w:rPr>
                <w:lang w:val="en-GB"/>
              </w:rPr>
              <w:t>)</w:t>
            </w:r>
          </w:p>
        </w:tc>
        <w:tc>
          <w:tcPr>
            <w:tcW w:w="8604" w:type="dxa"/>
          </w:tcPr>
          <w:p w14:paraId="11CC5DAE" w14:textId="7CE0BD51" w:rsidR="0045462F" w:rsidRPr="00E268FE" w:rsidRDefault="008174A6" w:rsidP="0057782B">
            <w:r>
              <w:rPr>
                <w:color w:val="000000"/>
                <w:shd w:val="clear" w:color="auto" w:fill="FFFFFF"/>
              </w:rPr>
              <w:t>Direktivet handlar om f</w:t>
            </w:r>
            <w:r w:rsidR="0045462F" w:rsidRPr="00E268FE">
              <w:rPr>
                <w:color w:val="000000"/>
                <w:shd w:val="clear" w:color="auto" w:fill="FFFFFF"/>
              </w:rPr>
              <w:t>all där importörer och distributörer ska ha samma skyldigheter som tillverkaren</w:t>
            </w:r>
          </w:p>
        </w:tc>
      </w:tr>
      <w:tr w:rsidR="009F7DC8" w:rsidRPr="00D5516E" w14:paraId="3962B7D0" w14:textId="77777777" w:rsidTr="004B47A0">
        <w:tc>
          <w:tcPr>
            <w:tcW w:w="2174" w:type="dxa"/>
          </w:tcPr>
          <w:p w14:paraId="200F52C4" w14:textId="45461192" w:rsidR="0045462F" w:rsidRDefault="0045462F" w:rsidP="0057782B">
            <w:pPr>
              <w:rPr>
                <w:lang w:val="en-GB"/>
              </w:rPr>
            </w:pPr>
            <w:r>
              <w:rPr>
                <w:lang w:val="en-GB"/>
              </w:rPr>
              <w:t>12</w:t>
            </w:r>
            <w:r w:rsidR="008174A6">
              <w:rPr>
                <w:lang w:val="en-GB"/>
              </w:rPr>
              <w:t xml:space="preserve"> </w:t>
            </w:r>
            <w:proofErr w:type="spellStart"/>
            <w:r w:rsidR="008174A6">
              <w:rPr>
                <w:lang w:val="en-GB"/>
              </w:rPr>
              <w:t>Identifiera</w:t>
            </w:r>
            <w:proofErr w:type="spellEnd"/>
            <w:r w:rsidR="008174A6">
              <w:rPr>
                <w:lang w:val="en-GB"/>
              </w:rPr>
              <w:t xml:space="preserve"> </w:t>
            </w:r>
            <w:proofErr w:type="spellStart"/>
            <w:r w:rsidR="008174A6">
              <w:rPr>
                <w:lang w:val="en-GB"/>
              </w:rPr>
              <w:t>ekonomisk</w:t>
            </w:r>
            <w:proofErr w:type="spellEnd"/>
            <w:r w:rsidR="008174A6">
              <w:rPr>
                <w:lang w:val="en-GB"/>
              </w:rPr>
              <w:t xml:space="preserve"> </w:t>
            </w:r>
            <w:proofErr w:type="spellStart"/>
            <w:r w:rsidR="008174A6">
              <w:rPr>
                <w:lang w:val="en-GB"/>
              </w:rPr>
              <w:t>aktör</w:t>
            </w:r>
            <w:proofErr w:type="spellEnd"/>
          </w:p>
        </w:tc>
        <w:tc>
          <w:tcPr>
            <w:tcW w:w="3216" w:type="dxa"/>
          </w:tcPr>
          <w:p w14:paraId="6428144D" w14:textId="431F696F" w:rsidR="0045462F" w:rsidRDefault="0045462F" w:rsidP="0057782B">
            <w:pPr>
              <w:rPr>
                <w:lang w:val="en-GB"/>
              </w:rPr>
            </w:pPr>
            <w:proofErr w:type="spellStart"/>
            <w:r>
              <w:rPr>
                <w:lang w:val="en-GB"/>
              </w:rPr>
              <w:t>Oklart</w:t>
            </w:r>
            <w:proofErr w:type="spellEnd"/>
            <w:r>
              <w:rPr>
                <w:lang w:val="en-GB"/>
              </w:rPr>
              <w:t xml:space="preserve"> om </w:t>
            </w:r>
            <w:proofErr w:type="spellStart"/>
            <w:r>
              <w:rPr>
                <w:lang w:val="en-GB"/>
              </w:rPr>
              <w:t>motsvarighet</w:t>
            </w:r>
            <w:proofErr w:type="spellEnd"/>
          </w:p>
        </w:tc>
        <w:tc>
          <w:tcPr>
            <w:tcW w:w="8604" w:type="dxa"/>
          </w:tcPr>
          <w:p w14:paraId="709FB153" w14:textId="61EB739B" w:rsidR="0045462F" w:rsidRPr="002F1337" w:rsidRDefault="008174A6" w:rsidP="0057782B">
            <w:r>
              <w:rPr>
                <w:color w:val="000000"/>
                <w:shd w:val="clear" w:color="auto" w:fill="FFFFFF"/>
              </w:rPr>
              <w:t>Direktivet handlar om i</w:t>
            </w:r>
            <w:r w:rsidR="0045462F" w:rsidRPr="002F1337">
              <w:rPr>
                <w:color w:val="000000"/>
                <w:shd w:val="clear" w:color="auto" w:fill="FFFFFF"/>
              </w:rPr>
              <w:t>dentifiering av de ekonomiska aktörer som hanterar produkter</w:t>
            </w:r>
            <w:r>
              <w:rPr>
                <w:color w:val="000000"/>
                <w:shd w:val="clear" w:color="auto" w:fill="FFFFFF"/>
              </w:rPr>
              <w:t>.</w:t>
            </w:r>
          </w:p>
        </w:tc>
      </w:tr>
      <w:tr w:rsidR="009F7DC8" w:rsidRPr="00D5516E" w14:paraId="34B73E4B" w14:textId="77777777" w:rsidTr="004B47A0">
        <w:tc>
          <w:tcPr>
            <w:tcW w:w="2174" w:type="dxa"/>
          </w:tcPr>
          <w:p w14:paraId="3BDAE3CC" w14:textId="7D6A70D7" w:rsidR="0045462F" w:rsidRDefault="0045462F" w:rsidP="0057782B">
            <w:pPr>
              <w:rPr>
                <w:lang w:val="en-GB"/>
              </w:rPr>
            </w:pPr>
            <w:r>
              <w:rPr>
                <w:lang w:val="en-GB"/>
              </w:rPr>
              <w:t xml:space="preserve">13 </w:t>
            </w:r>
            <w:proofErr w:type="spellStart"/>
            <w:r>
              <w:rPr>
                <w:lang w:val="en-GB"/>
              </w:rPr>
              <w:t>tjänste-leverantörer</w:t>
            </w:r>
            <w:proofErr w:type="spellEnd"/>
          </w:p>
        </w:tc>
        <w:tc>
          <w:tcPr>
            <w:tcW w:w="3216" w:type="dxa"/>
          </w:tcPr>
          <w:p w14:paraId="6112D889" w14:textId="72724137" w:rsidR="0045462F" w:rsidRPr="00225142" w:rsidRDefault="0045462F" w:rsidP="0057782B">
            <w:r w:rsidRPr="00225142">
              <w:t>24, 25, 26 § samt 27 om e-böcker</w:t>
            </w:r>
            <w:r w:rsidR="00B3373E">
              <w:t xml:space="preserve"> (delvis)</w:t>
            </w:r>
          </w:p>
        </w:tc>
        <w:tc>
          <w:tcPr>
            <w:tcW w:w="8604" w:type="dxa"/>
          </w:tcPr>
          <w:p w14:paraId="2B09DEDB" w14:textId="3923ED02" w:rsidR="0045462F" w:rsidRPr="00225142" w:rsidRDefault="0045462F" w:rsidP="0057782B">
            <w:r>
              <w:t xml:space="preserve">Direktivet innehåller </w:t>
            </w:r>
            <w:proofErr w:type="gramStart"/>
            <w:r>
              <w:t>5 stycken</w:t>
            </w:r>
            <w:proofErr w:type="gramEnd"/>
            <w:r>
              <w:t xml:space="preserve"> med hänvisning till krav i direktivets bilaga V. Propositionen är indelad i flera paragrafer. Propositionen </w:t>
            </w:r>
            <w:r w:rsidRPr="001D7076">
              <w:rPr>
                <w:b/>
                <w:bCs/>
                <w:highlight w:val="yellow"/>
              </w:rPr>
              <w:t xml:space="preserve">hänvisar </w:t>
            </w:r>
            <w:r>
              <w:rPr>
                <w:b/>
                <w:bCs/>
                <w:highlight w:val="yellow"/>
              </w:rPr>
              <w:t xml:space="preserve">inte till kraven utan </w:t>
            </w:r>
            <w:r w:rsidRPr="001D7076">
              <w:rPr>
                <w:b/>
                <w:bCs/>
                <w:highlight w:val="yellow"/>
              </w:rPr>
              <w:t xml:space="preserve">till </w:t>
            </w:r>
            <w:r>
              <w:rPr>
                <w:b/>
                <w:bCs/>
                <w:highlight w:val="yellow"/>
              </w:rPr>
              <w:t xml:space="preserve">föreskriftsrätt samt </w:t>
            </w:r>
            <w:r w:rsidRPr="001D7076">
              <w:rPr>
                <w:b/>
                <w:bCs/>
                <w:highlight w:val="yellow"/>
              </w:rPr>
              <w:t>undantag i prop</w:t>
            </w:r>
            <w:r>
              <w:rPr>
                <w:b/>
                <w:bCs/>
                <w:highlight w:val="yellow"/>
              </w:rPr>
              <w:t>ositionens</w:t>
            </w:r>
            <w:r w:rsidRPr="001D7076">
              <w:rPr>
                <w:b/>
                <w:bCs/>
                <w:highlight w:val="yellow"/>
              </w:rPr>
              <w:t xml:space="preserve"> § 7</w:t>
            </w:r>
            <w:r>
              <w:rPr>
                <w:b/>
                <w:bCs/>
                <w:highlight w:val="yellow"/>
              </w:rPr>
              <w:t xml:space="preserve">, utan </w:t>
            </w:r>
            <w:r w:rsidRPr="001D7076">
              <w:rPr>
                <w:b/>
                <w:bCs/>
                <w:highlight w:val="yellow"/>
              </w:rPr>
              <w:t xml:space="preserve">att direktivet </w:t>
            </w:r>
            <w:r>
              <w:rPr>
                <w:b/>
                <w:bCs/>
                <w:highlight w:val="yellow"/>
              </w:rPr>
              <w:t>har någon sådan</w:t>
            </w:r>
            <w:r w:rsidRPr="001D7076">
              <w:rPr>
                <w:b/>
                <w:bCs/>
                <w:highlight w:val="yellow"/>
              </w:rPr>
              <w:t xml:space="preserve"> hänvisning </w:t>
            </w:r>
            <w:r>
              <w:rPr>
                <w:b/>
                <w:bCs/>
                <w:highlight w:val="yellow"/>
              </w:rPr>
              <w:t>i direktivets paragraf 13 som rö</w:t>
            </w:r>
            <w:r w:rsidRPr="001D7076">
              <w:rPr>
                <w:b/>
                <w:bCs/>
                <w:highlight w:val="yellow"/>
              </w:rPr>
              <w:t>r tjänster</w:t>
            </w:r>
            <w:r w:rsidRPr="001D7076">
              <w:rPr>
                <w:highlight w:val="yellow"/>
              </w:rPr>
              <w:t>.</w:t>
            </w:r>
            <w:r w:rsidR="008E390E">
              <w:t xml:space="preserve">  Det finns ingen särskild paragraf om e-böcker i direktivet. </w:t>
            </w:r>
            <w:proofErr w:type="spellStart"/>
            <w:r w:rsidR="008E390E">
              <w:t>Prop</w:t>
            </w:r>
            <w:proofErr w:type="spellEnd"/>
            <w:r w:rsidR="008E390E">
              <w:t xml:space="preserve"> 27 § </w:t>
            </w:r>
            <w:r w:rsidR="001C0F57">
              <w:t xml:space="preserve">tar upp att den </w:t>
            </w:r>
            <w:r w:rsidR="008E390E">
              <w:t xml:space="preserve">som </w:t>
            </w:r>
            <w:r w:rsidR="008E390E" w:rsidRPr="00522C6B">
              <w:rPr>
                <w:b/>
                <w:bCs/>
                <w:highlight w:val="yellow"/>
              </w:rPr>
              <w:t>ansvarar för innehållet i en e-bok</w:t>
            </w:r>
            <w:r w:rsidR="008E390E">
              <w:t xml:space="preserve"> ska säkerställa att tillgänglighetskraven uppfylls även om denne inte är en tjänsteleverantör</w:t>
            </w:r>
            <w:r w:rsidR="001C0F57">
              <w:t xml:space="preserve">, och gör ett </w:t>
            </w:r>
            <w:r w:rsidR="008E390E">
              <w:t>undantag för bestämmelserna om sanktionsavgift.</w:t>
            </w:r>
          </w:p>
        </w:tc>
      </w:tr>
      <w:tr w:rsidR="009F7DC8" w:rsidRPr="00581FD6" w14:paraId="3AD24538" w14:textId="77777777" w:rsidTr="004B47A0">
        <w:trPr>
          <w:trHeight w:val="561"/>
        </w:trPr>
        <w:tc>
          <w:tcPr>
            <w:tcW w:w="2174" w:type="dxa"/>
          </w:tcPr>
          <w:p w14:paraId="7A896E0F" w14:textId="6AC31FE0" w:rsidR="0045462F" w:rsidRDefault="0045462F" w:rsidP="0057782B">
            <w:pPr>
              <w:rPr>
                <w:lang w:val="en-GB"/>
              </w:rPr>
            </w:pPr>
            <w:r w:rsidRPr="00A25254">
              <w:t>14</w:t>
            </w:r>
            <w:r w:rsidR="001A1F99">
              <w:t xml:space="preserve"> grundläggande ändringar </w:t>
            </w:r>
            <w:proofErr w:type="spellStart"/>
            <w:r w:rsidR="00CF4CDE">
              <w:t>oprop</w:t>
            </w:r>
            <w:proofErr w:type="spellEnd"/>
            <w:r w:rsidR="00CF4CDE">
              <w:t>. börda</w:t>
            </w:r>
          </w:p>
        </w:tc>
        <w:tc>
          <w:tcPr>
            <w:tcW w:w="3216" w:type="dxa"/>
          </w:tcPr>
          <w:p w14:paraId="6D5B8520" w14:textId="09072710" w:rsidR="0045462F" w:rsidRPr="00A25254" w:rsidRDefault="00E91FD3" w:rsidP="0057782B">
            <w:r>
              <w:t xml:space="preserve">7, 8 § </w:t>
            </w:r>
            <w:r w:rsidR="00633C9D">
              <w:t>(</w:t>
            </w:r>
            <w:r w:rsidR="00B3373E">
              <w:t>delvis)</w:t>
            </w:r>
          </w:p>
        </w:tc>
        <w:tc>
          <w:tcPr>
            <w:tcW w:w="8604" w:type="dxa"/>
          </w:tcPr>
          <w:p w14:paraId="6B0F08D2" w14:textId="18DE8C37" w:rsidR="0045462F" w:rsidRPr="00FC7D43" w:rsidRDefault="00FC7D43" w:rsidP="0057782B">
            <w:r w:rsidRPr="00FC7D43">
              <w:t xml:space="preserve">Direktivet handlar om </w:t>
            </w:r>
            <w:r w:rsidRPr="00FC7D43">
              <w:rPr>
                <w:bCs/>
              </w:rPr>
              <w:t>g</w:t>
            </w:r>
            <w:r w:rsidRPr="00FC7D43">
              <w:rPr>
                <w:bCs/>
                <w:color w:val="000000"/>
                <w:shd w:val="clear" w:color="auto" w:fill="FFFFFF"/>
              </w:rPr>
              <w:t>rundläggande ändringar och oproportionerligt stor börda</w:t>
            </w:r>
            <w:r w:rsidR="00E91FD3">
              <w:rPr>
                <w:bCs/>
                <w:color w:val="000000"/>
                <w:shd w:val="clear" w:color="auto" w:fill="FFFFFF"/>
              </w:rPr>
              <w:t xml:space="preserve">. </w:t>
            </w:r>
            <w:proofErr w:type="spellStart"/>
            <w:r w:rsidR="00E91FD3">
              <w:rPr>
                <w:bCs/>
                <w:color w:val="000000"/>
                <w:shd w:val="clear" w:color="auto" w:fill="FFFFFF"/>
              </w:rPr>
              <w:t>Prop</w:t>
            </w:r>
            <w:proofErr w:type="spellEnd"/>
            <w:r w:rsidR="00E91FD3">
              <w:rPr>
                <w:bCs/>
                <w:color w:val="000000"/>
                <w:shd w:val="clear" w:color="auto" w:fill="FFFFFF"/>
              </w:rPr>
              <w:t xml:space="preserve"> har lyft fram denna del tidigare i lagen till § 7 och även lagt till bestämmelser som rör undantag i en bilaga i lagtext (däremot finns inte alla bilagor med själva tillgänglighetskraven i lagtext. Kraven ska komma i form av föreskrifter oklart om och när).</w:t>
            </w:r>
          </w:p>
        </w:tc>
      </w:tr>
      <w:tr w:rsidR="009F7DC8" w:rsidRPr="00F81274" w14:paraId="44AD9E97" w14:textId="77777777" w:rsidTr="004B47A0">
        <w:trPr>
          <w:trHeight w:val="561"/>
        </w:trPr>
        <w:tc>
          <w:tcPr>
            <w:tcW w:w="2174" w:type="dxa"/>
          </w:tcPr>
          <w:p w14:paraId="6830E95F" w14:textId="51D9D6C9" w:rsidR="0045462F" w:rsidRPr="00A25254" w:rsidRDefault="0045462F" w:rsidP="0057782B">
            <w:r>
              <w:t>15</w:t>
            </w:r>
            <w:r w:rsidR="00CF4CDE">
              <w:t xml:space="preserve"> överensstämmelse</w:t>
            </w:r>
          </w:p>
        </w:tc>
        <w:tc>
          <w:tcPr>
            <w:tcW w:w="3216" w:type="dxa"/>
          </w:tcPr>
          <w:p w14:paraId="3FA063D1" w14:textId="32913E13" w:rsidR="0045462F" w:rsidRPr="00F81274" w:rsidRDefault="001A1F99" w:rsidP="0057782B">
            <w:pPr>
              <w:rPr>
                <w:lang w:val="en-GB"/>
              </w:rPr>
            </w:pPr>
            <w:r>
              <w:t>9</w:t>
            </w:r>
            <w:r w:rsidR="0045462F" w:rsidRPr="00A25254">
              <w:t xml:space="preserve"> § </w:t>
            </w:r>
            <w:r>
              <w:t>(delvis)</w:t>
            </w:r>
          </w:p>
        </w:tc>
        <w:tc>
          <w:tcPr>
            <w:tcW w:w="8604" w:type="dxa"/>
          </w:tcPr>
          <w:p w14:paraId="072229E3" w14:textId="05FE09C1" w:rsidR="0045462F" w:rsidRPr="00862585" w:rsidRDefault="00862585" w:rsidP="0057782B">
            <w:r w:rsidRPr="00862585">
              <w:rPr>
                <w:color w:val="000000"/>
                <w:shd w:val="clear" w:color="auto" w:fill="FFFFFF"/>
              </w:rPr>
              <w:t xml:space="preserve">Direktivet </w:t>
            </w:r>
            <w:r w:rsidR="00DD5368">
              <w:rPr>
                <w:color w:val="000000"/>
                <w:shd w:val="clear" w:color="auto" w:fill="FFFFFF"/>
              </w:rPr>
              <w:t xml:space="preserve">innehåller </w:t>
            </w:r>
            <w:proofErr w:type="gramStart"/>
            <w:r w:rsidR="00DD5368">
              <w:rPr>
                <w:color w:val="000000"/>
                <w:shd w:val="clear" w:color="auto" w:fill="FFFFFF"/>
              </w:rPr>
              <w:t>4 stycken</w:t>
            </w:r>
            <w:proofErr w:type="gramEnd"/>
            <w:r w:rsidR="00DD5368">
              <w:rPr>
                <w:color w:val="000000"/>
                <w:shd w:val="clear" w:color="auto" w:fill="FFFFFF"/>
              </w:rPr>
              <w:t xml:space="preserve"> som </w:t>
            </w:r>
            <w:r w:rsidRPr="00862585">
              <w:rPr>
                <w:color w:val="000000"/>
                <w:shd w:val="clear" w:color="auto" w:fill="FFFFFF"/>
              </w:rPr>
              <w:t>handlar om presumtion om överensstämmelse</w:t>
            </w:r>
            <w:r>
              <w:rPr>
                <w:color w:val="000000"/>
                <w:shd w:val="clear" w:color="auto" w:fill="FFFFFF"/>
              </w:rPr>
              <w:t xml:space="preserve"> och hänvisar till harmoniserade standarder eller tekniska specifikationer som kommissionen kan begära från standardiseringsorgan eller ta fram själva genom delegerade akter.</w:t>
            </w:r>
          </w:p>
        </w:tc>
      </w:tr>
      <w:tr w:rsidR="009F7DC8" w:rsidRPr="00F81274" w14:paraId="3944FD2D" w14:textId="77777777" w:rsidTr="004B47A0">
        <w:trPr>
          <w:trHeight w:val="561"/>
        </w:trPr>
        <w:tc>
          <w:tcPr>
            <w:tcW w:w="2174" w:type="dxa"/>
          </w:tcPr>
          <w:p w14:paraId="79432637" w14:textId="74867EFA" w:rsidR="0045462F" w:rsidRDefault="00862585" w:rsidP="0057782B">
            <w:r>
              <w:t xml:space="preserve">16 </w:t>
            </w:r>
            <w:r w:rsidR="00F0607E">
              <w:t>– 18 om CE-märkning</w:t>
            </w:r>
          </w:p>
        </w:tc>
        <w:tc>
          <w:tcPr>
            <w:tcW w:w="3216" w:type="dxa"/>
          </w:tcPr>
          <w:p w14:paraId="38621FE1" w14:textId="672932DD" w:rsidR="0045462F" w:rsidRPr="00A25254" w:rsidRDefault="00622B1E" w:rsidP="0057782B">
            <w:r>
              <w:t xml:space="preserve">12, 13, </w:t>
            </w:r>
            <w:r w:rsidR="00B407ED">
              <w:t>16 § (delvis)</w:t>
            </w:r>
          </w:p>
        </w:tc>
        <w:tc>
          <w:tcPr>
            <w:tcW w:w="8604" w:type="dxa"/>
          </w:tcPr>
          <w:p w14:paraId="276DC5AB" w14:textId="07C0C584" w:rsidR="0045462F" w:rsidRPr="00B407ED" w:rsidRDefault="00B407ED" w:rsidP="0057782B">
            <w:r w:rsidRPr="00B407ED">
              <w:t>Direktivet innehåller bestämmelser som r</w:t>
            </w:r>
            <w:r>
              <w:t xml:space="preserve">ör CE-märkning som tycks ha placerats under skyldigheter för tillverkare, importörer och distributörer i prop. </w:t>
            </w:r>
            <w:proofErr w:type="spellStart"/>
            <w:r w:rsidR="00884BA4">
              <w:t>Prop</w:t>
            </w:r>
            <w:proofErr w:type="spellEnd"/>
            <w:r w:rsidR="00884BA4">
              <w:t xml:space="preserve"> hänvisar </w:t>
            </w:r>
            <w:r w:rsidR="00EA164A">
              <w:t>främ</w:t>
            </w:r>
            <w:r w:rsidR="00884BA4">
              <w:t>st till andra bestämmelser.</w:t>
            </w:r>
          </w:p>
        </w:tc>
      </w:tr>
      <w:tr w:rsidR="009F7DC8" w:rsidRPr="00F81274" w14:paraId="7DF95F32" w14:textId="77777777" w:rsidTr="004B47A0">
        <w:trPr>
          <w:trHeight w:val="561"/>
        </w:trPr>
        <w:tc>
          <w:tcPr>
            <w:tcW w:w="2174" w:type="dxa"/>
          </w:tcPr>
          <w:p w14:paraId="264EA1DE" w14:textId="2CDE2C39" w:rsidR="0045462F" w:rsidRDefault="00EC5A85" w:rsidP="0057782B">
            <w:r>
              <w:t xml:space="preserve">19 </w:t>
            </w:r>
            <w:r w:rsidR="00241306">
              <w:t xml:space="preserve">produkter </w:t>
            </w:r>
            <w:r>
              <w:t>marknadskontroll</w:t>
            </w:r>
          </w:p>
        </w:tc>
        <w:tc>
          <w:tcPr>
            <w:tcW w:w="3216" w:type="dxa"/>
          </w:tcPr>
          <w:p w14:paraId="0F812388" w14:textId="3DAB1096" w:rsidR="0045462F" w:rsidRDefault="004B755B" w:rsidP="0057782B">
            <w:r>
              <w:t>28</w:t>
            </w:r>
            <w:r w:rsidR="008721B0">
              <w:t xml:space="preserve">, 29 </w:t>
            </w:r>
            <w:r>
              <w:t xml:space="preserve">§ </w:t>
            </w:r>
            <w:r w:rsidR="006143A6">
              <w:t>(delvis)</w:t>
            </w:r>
          </w:p>
        </w:tc>
        <w:tc>
          <w:tcPr>
            <w:tcW w:w="8604" w:type="dxa"/>
          </w:tcPr>
          <w:p w14:paraId="683CC25D" w14:textId="5E62DDEF" w:rsidR="0045462F" w:rsidRPr="00822A29" w:rsidRDefault="000A1E8F" w:rsidP="0057782B">
            <w:r w:rsidRPr="00822A29">
              <w:t xml:space="preserve">Direktivet </w:t>
            </w:r>
            <w:r w:rsidR="00822A29" w:rsidRPr="00822A29">
              <w:t xml:space="preserve">§ 19 </w:t>
            </w:r>
            <w:r w:rsidR="00822A29">
              <w:t xml:space="preserve">om marknadskontroll av produkter </w:t>
            </w:r>
            <w:r w:rsidR="00822A29" w:rsidRPr="00822A29">
              <w:t xml:space="preserve">är kortare än </w:t>
            </w:r>
            <w:proofErr w:type="spellStart"/>
            <w:r w:rsidR="00822A29">
              <w:t>prop</w:t>
            </w:r>
            <w:proofErr w:type="spellEnd"/>
            <w:r w:rsidR="00822A29">
              <w:t xml:space="preserve"> § 2</w:t>
            </w:r>
            <w:r w:rsidR="00F47B0D">
              <w:t>8 som innehåller detaljerade och svårbegripliga hänvisningar</w:t>
            </w:r>
            <w:r w:rsidR="009D3560">
              <w:t xml:space="preserve"> till annan reglering som rör marknadskontroll.</w:t>
            </w:r>
          </w:p>
        </w:tc>
      </w:tr>
      <w:tr w:rsidR="009F7DC8" w:rsidRPr="0098116A" w14:paraId="4E72D0A8" w14:textId="77777777" w:rsidTr="004B47A0">
        <w:trPr>
          <w:trHeight w:val="561"/>
        </w:trPr>
        <w:tc>
          <w:tcPr>
            <w:tcW w:w="2174" w:type="dxa"/>
          </w:tcPr>
          <w:p w14:paraId="377F957E" w14:textId="299AAE85" w:rsidR="0045462F" w:rsidRDefault="009D3560" w:rsidP="0057782B">
            <w:r>
              <w:t>20</w:t>
            </w:r>
            <w:r w:rsidR="004B47A0">
              <w:t xml:space="preserve"> förfarande ej överensstämmer</w:t>
            </w:r>
          </w:p>
        </w:tc>
        <w:tc>
          <w:tcPr>
            <w:tcW w:w="3216" w:type="dxa"/>
          </w:tcPr>
          <w:p w14:paraId="1B609BC9" w14:textId="363261FD" w:rsidR="0045462F" w:rsidRPr="006738A2" w:rsidRDefault="00BC09EC" w:rsidP="0057782B">
            <w:pPr>
              <w:rPr>
                <w:lang w:val="en-GB"/>
              </w:rPr>
            </w:pPr>
            <w:r>
              <w:rPr>
                <w:lang w:val="en-GB"/>
              </w:rPr>
              <w:t xml:space="preserve">21, </w:t>
            </w:r>
            <w:r w:rsidR="006143A6">
              <w:rPr>
                <w:lang w:val="en-GB"/>
              </w:rPr>
              <w:t xml:space="preserve">32, </w:t>
            </w:r>
            <w:proofErr w:type="spellStart"/>
            <w:r w:rsidR="007A2CD5">
              <w:rPr>
                <w:lang w:val="en-GB"/>
              </w:rPr>
              <w:t>ev</w:t>
            </w:r>
            <w:proofErr w:type="spellEnd"/>
            <w:r w:rsidR="007A2CD5">
              <w:rPr>
                <w:lang w:val="en-GB"/>
              </w:rPr>
              <w:t xml:space="preserve"> 35, 36</w:t>
            </w:r>
            <w:r w:rsidR="006143A6">
              <w:rPr>
                <w:lang w:val="en-GB"/>
              </w:rPr>
              <w:t>§ (</w:t>
            </w:r>
            <w:proofErr w:type="spellStart"/>
            <w:r w:rsidR="006143A6">
              <w:rPr>
                <w:lang w:val="en-GB"/>
              </w:rPr>
              <w:t>delvis</w:t>
            </w:r>
            <w:proofErr w:type="spellEnd"/>
            <w:r w:rsidR="006143A6">
              <w:rPr>
                <w:lang w:val="en-GB"/>
              </w:rPr>
              <w:t>)</w:t>
            </w:r>
          </w:p>
        </w:tc>
        <w:tc>
          <w:tcPr>
            <w:tcW w:w="8604" w:type="dxa"/>
          </w:tcPr>
          <w:p w14:paraId="64453799" w14:textId="70EEAB4C" w:rsidR="0045462F" w:rsidRPr="0098116A" w:rsidRDefault="0098116A" w:rsidP="0057782B">
            <w:r w:rsidRPr="0098116A">
              <w:t xml:space="preserve">Direktivet innehåller </w:t>
            </w:r>
            <w:proofErr w:type="gramStart"/>
            <w:r w:rsidRPr="0098116A">
              <w:t>8 stycken</w:t>
            </w:r>
            <w:proofErr w:type="gramEnd"/>
            <w:r w:rsidRPr="0098116A">
              <w:t xml:space="preserve"> med f</w:t>
            </w:r>
            <w:r>
              <w:t xml:space="preserve">örfaranden </w:t>
            </w:r>
            <w:r w:rsidR="00BA62C8">
              <w:t>för</w:t>
            </w:r>
            <w:r w:rsidR="005D04FD">
              <w:t xml:space="preserve"> produkter. </w:t>
            </w:r>
            <w:proofErr w:type="spellStart"/>
            <w:r w:rsidR="00022A1E">
              <w:t>Prop</w:t>
            </w:r>
            <w:proofErr w:type="spellEnd"/>
            <w:r w:rsidR="00022A1E">
              <w:t xml:space="preserve"> har slagit samman förfaranden för marknadskontroll och tillsyn, men </w:t>
            </w:r>
            <w:r w:rsidR="00022A1E" w:rsidRPr="005D04FD">
              <w:rPr>
                <w:b/>
                <w:bCs/>
                <w:highlight w:val="yellow"/>
              </w:rPr>
              <w:t xml:space="preserve">till exempel skyldigheter att underrätta andra medlemsländer om produkter inte </w:t>
            </w:r>
            <w:r w:rsidR="005D04FD" w:rsidRPr="005D04FD">
              <w:rPr>
                <w:b/>
                <w:bCs/>
                <w:highlight w:val="yellow"/>
              </w:rPr>
              <w:t xml:space="preserve">följer </w:t>
            </w:r>
            <w:r w:rsidR="005D04FD" w:rsidRPr="00BD46EE">
              <w:rPr>
                <w:b/>
                <w:bCs/>
                <w:highlight w:val="yellow"/>
              </w:rPr>
              <w:t>kraven</w:t>
            </w:r>
            <w:r w:rsidR="00BD46EE" w:rsidRPr="00BD46EE">
              <w:rPr>
                <w:b/>
                <w:bCs/>
                <w:highlight w:val="yellow"/>
              </w:rPr>
              <w:t xml:space="preserve"> nämns</w:t>
            </w:r>
            <w:r w:rsidR="00BD46EE">
              <w:rPr>
                <w:b/>
                <w:bCs/>
                <w:highlight w:val="yellow"/>
              </w:rPr>
              <w:t xml:space="preserve"> bara</w:t>
            </w:r>
            <w:r w:rsidR="00BD46EE" w:rsidRPr="00BD46EE">
              <w:rPr>
                <w:b/>
                <w:bCs/>
                <w:highlight w:val="yellow"/>
              </w:rPr>
              <w:t xml:space="preserve"> kort i §21</w:t>
            </w:r>
            <w:r w:rsidR="005D04FD">
              <w:t>.</w:t>
            </w:r>
            <w:r w:rsidR="007A2CD5">
              <w:t xml:space="preserve"> </w:t>
            </w:r>
            <w:r w:rsidR="00FE5CE3">
              <w:t>O</w:t>
            </w:r>
            <w:r w:rsidR="007A2CD5">
              <w:t xml:space="preserve">klart </w:t>
            </w:r>
            <w:r w:rsidR="00FE5CE3">
              <w:t>vilka artiklar i direktivet där</w:t>
            </w:r>
            <w:r w:rsidR="007A2CD5">
              <w:t xml:space="preserve"> </w:t>
            </w:r>
            <w:proofErr w:type="spellStart"/>
            <w:r w:rsidR="007A2CD5">
              <w:t>prop</w:t>
            </w:r>
            <w:proofErr w:type="spellEnd"/>
            <w:r w:rsidR="007A2CD5">
              <w:t xml:space="preserve"> </w:t>
            </w:r>
            <w:r w:rsidR="00D33E6C">
              <w:t xml:space="preserve">§ 35 </w:t>
            </w:r>
            <w:r w:rsidR="00FE5CE3">
              <w:t xml:space="preserve">om vitesföreläggande </w:t>
            </w:r>
            <w:r w:rsidR="00D33E6C">
              <w:t xml:space="preserve">och 36 </w:t>
            </w:r>
            <w:r w:rsidR="00FE5CE3">
              <w:t xml:space="preserve">om stöd från polis </w:t>
            </w:r>
            <w:r w:rsidR="00D33E6C">
              <w:t>gäller.</w:t>
            </w:r>
          </w:p>
        </w:tc>
      </w:tr>
      <w:tr w:rsidR="009F7DC8" w:rsidRPr="006738A2" w14:paraId="662DFC20" w14:textId="77777777" w:rsidTr="004B47A0">
        <w:trPr>
          <w:trHeight w:val="561"/>
        </w:trPr>
        <w:tc>
          <w:tcPr>
            <w:tcW w:w="2174" w:type="dxa"/>
          </w:tcPr>
          <w:p w14:paraId="6BE331CF" w14:textId="18B11761" w:rsidR="0045462F" w:rsidRPr="00A25254" w:rsidRDefault="00596911" w:rsidP="0057782B">
            <w:r>
              <w:t>21 unionsförfarande</w:t>
            </w:r>
          </w:p>
        </w:tc>
        <w:tc>
          <w:tcPr>
            <w:tcW w:w="3216" w:type="dxa"/>
          </w:tcPr>
          <w:p w14:paraId="006F81BA" w14:textId="2F6722C1" w:rsidR="0045462F" w:rsidRDefault="00985D65" w:rsidP="0057782B">
            <w:r>
              <w:t xml:space="preserve">Regeringen </w:t>
            </w:r>
            <w:r w:rsidR="00B012DE">
              <w:t xml:space="preserve">finner att artikel 21 i tillgänglighetsdirektivet inte behöver regleras särskilt i den nya lagen. (sid </w:t>
            </w:r>
            <w:r w:rsidR="00912D5B">
              <w:t xml:space="preserve">105 </w:t>
            </w:r>
            <w:proofErr w:type="spellStart"/>
            <w:r w:rsidR="00912D5B">
              <w:t>prop</w:t>
            </w:r>
            <w:proofErr w:type="spellEnd"/>
            <w:r w:rsidR="00912D5B">
              <w:t>).</w:t>
            </w:r>
          </w:p>
        </w:tc>
        <w:tc>
          <w:tcPr>
            <w:tcW w:w="8604" w:type="dxa"/>
          </w:tcPr>
          <w:p w14:paraId="50D067E1" w14:textId="69313369" w:rsidR="0045462F" w:rsidRPr="00C861DD" w:rsidRDefault="00C861DD" w:rsidP="0057782B">
            <w:r w:rsidRPr="00C861DD">
              <w:rPr>
                <w:color w:val="000000"/>
                <w:shd w:val="clear" w:color="auto" w:fill="FFFFFF"/>
              </w:rPr>
              <w:t>Direktivet innehåller beskrivning om unionsförfarande i fråga om skyddsåt</w:t>
            </w:r>
            <w:r w:rsidR="00912D5B">
              <w:rPr>
                <w:color w:val="000000"/>
                <w:shd w:val="clear" w:color="auto" w:fill="FFFFFF"/>
              </w:rPr>
              <w:t>g</w:t>
            </w:r>
            <w:r w:rsidRPr="00C861DD">
              <w:rPr>
                <w:color w:val="000000"/>
                <w:shd w:val="clear" w:color="auto" w:fill="FFFFFF"/>
              </w:rPr>
              <w:t>ärder mellan medlemsländer.</w:t>
            </w:r>
          </w:p>
        </w:tc>
      </w:tr>
      <w:tr w:rsidR="009F7DC8" w:rsidRPr="006738A2" w14:paraId="2E837147" w14:textId="77777777" w:rsidTr="004B47A0">
        <w:trPr>
          <w:trHeight w:val="561"/>
        </w:trPr>
        <w:tc>
          <w:tcPr>
            <w:tcW w:w="2174" w:type="dxa"/>
          </w:tcPr>
          <w:p w14:paraId="33A139F0" w14:textId="6B6B1FEA" w:rsidR="0045462F" w:rsidRDefault="00C861DD" w:rsidP="0057782B">
            <w:r>
              <w:t xml:space="preserve">22 </w:t>
            </w:r>
            <w:r w:rsidR="00B058C4">
              <w:t xml:space="preserve">formell brist. </w:t>
            </w:r>
            <w:r w:rsidR="009879CE">
              <w:t>ö</w:t>
            </w:r>
            <w:r w:rsidR="00B058C4">
              <w:t>verensstämmelse</w:t>
            </w:r>
            <w:r w:rsidR="009879CE">
              <w:t xml:space="preserve"> produkter</w:t>
            </w:r>
          </w:p>
        </w:tc>
        <w:tc>
          <w:tcPr>
            <w:tcW w:w="3216" w:type="dxa"/>
          </w:tcPr>
          <w:p w14:paraId="2C075900" w14:textId="290065EB" w:rsidR="00015F4B" w:rsidRDefault="00015F4B" w:rsidP="0057782B">
            <w:proofErr w:type="spellStart"/>
            <w:r>
              <w:t>Ev</w:t>
            </w:r>
            <w:proofErr w:type="spellEnd"/>
            <w:r>
              <w:t xml:space="preserve"> 19</w:t>
            </w:r>
            <w:r w:rsidR="000F0E49">
              <w:t>, 20, 21</w:t>
            </w:r>
            <w:r w:rsidR="00607734">
              <w:t>, 32</w:t>
            </w:r>
            <w:r w:rsidR="00EE4E75">
              <w:t>, 33, 3</w:t>
            </w:r>
            <w:r w:rsidR="006E7DC2">
              <w:t>4, 35, 36</w:t>
            </w:r>
            <w:r w:rsidR="000F0E49">
              <w:t xml:space="preserve"> </w:t>
            </w:r>
            <w:r>
              <w:t>§</w:t>
            </w:r>
            <w:r w:rsidR="000F0E49">
              <w:t xml:space="preserve"> (delvis)</w:t>
            </w:r>
          </w:p>
          <w:p w14:paraId="4FCB8B20" w14:textId="3B597071" w:rsidR="00015F4B" w:rsidRPr="00A25254" w:rsidRDefault="00015F4B" w:rsidP="00485EBB"/>
        </w:tc>
        <w:tc>
          <w:tcPr>
            <w:tcW w:w="8604" w:type="dxa"/>
          </w:tcPr>
          <w:p w14:paraId="4EA51780" w14:textId="7048E1F2" w:rsidR="0045462F" w:rsidRPr="00B058C4" w:rsidRDefault="00B058C4" w:rsidP="0057782B">
            <w:r w:rsidRPr="00B058C4">
              <w:t>Direktivet tar</w:t>
            </w:r>
            <w:r w:rsidR="00D94574">
              <w:t xml:space="preserve"> upp processen som rör brister med CE-märkning</w:t>
            </w:r>
            <w:r w:rsidR="00960376">
              <w:t xml:space="preserve"> inklusive </w:t>
            </w:r>
            <w:r w:rsidR="00191CC5">
              <w:t>att produkten kan dras tillbaka från marknaden</w:t>
            </w:r>
            <w:r w:rsidR="00485EBB">
              <w:t xml:space="preserve">. </w:t>
            </w:r>
            <w:proofErr w:type="spellStart"/>
            <w:r w:rsidR="00485EBB">
              <w:t>Prop</w:t>
            </w:r>
            <w:proofErr w:type="spellEnd"/>
            <w:r w:rsidR="00485EBB">
              <w:t xml:space="preserve"> </w:t>
            </w:r>
            <w:r w:rsidR="00960376">
              <w:t>stora skillnader och andra texter kopplade till tillverkare, importörer och distributörer.</w:t>
            </w:r>
            <w:r w:rsidR="00607734">
              <w:t xml:space="preserve"> </w:t>
            </w:r>
            <w:proofErr w:type="spellStart"/>
            <w:r w:rsidR="00607734">
              <w:t>Prop</w:t>
            </w:r>
            <w:proofErr w:type="spellEnd"/>
            <w:r w:rsidR="00607734">
              <w:t xml:space="preserve"> § 32 </w:t>
            </w:r>
            <w:r w:rsidR="003A1A50">
              <w:t>”</w:t>
            </w:r>
            <w:r w:rsidR="002B199F">
              <w:t>Gemensamma bestämmelser för marknadskontroll och tillsyn</w:t>
            </w:r>
            <w:r w:rsidR="003A1A50">
              <w:t>”</w:t>
            </w:r>
            <w:r w:rsidR="00607734">
              <w:t xml:space="preserve"> </w:t>
            </w:r>
            <w:r w:rsidR="009060D0">
              <w:t>har en text om att ”myndigheten besluta de förelägganden som behövs för att bristen ska avhjälpas”</w:t>
            </w:r>
            <w:r w:rsidR="00915804">
              <w:t xml:space="preserve">, inte vilka. </w:t>
            </w:r>
            <w:r w:rsidR="00FE5CE3">
              <w:t xml:space="preserve">Oklart vilka artiklar i direktivet där </w:t>
            </w:r>
            <w:proofErr w:type="spellStart"/>
            <w:r w:rsidR="00FE5CE3">
              <w:t>prop</w:t>
            </w:r>
            <w:proofErr w:type="spellEnd"/>
            <w:r w:rsidR="00FE5CE3">
              <w:t xml:space="preserve"> § 35 om vitesföreläggande och 36 om stöd från polis gäller.</w:t>
            </w:r>
            <w:r w:rsidR="00AE2FA5">
              <w:t xml:space="preserve"> </w:t>
            </w:r>
            <w:r w:rsidR="00C8003C">
              <w:t>G</w:t>
            </w:r>
            <w:r w:rsidR="00AE2FA5">
              <w:t xml:space="preserve">enerellt </w:t>
            </w:r>
            <w:r w:rsidR="00C8003C">
              <w:t xml:space="preserve">svårt bedöma konsekvenser av </w:t>
            </w:r>
            <w:proofErr w:type="gramStart"/>
            <w:r w:rsidR="00C8003C">
              <w:t xml:space="preserve">de </w:t>
            </w:r>
            <w:r w:rsidR="00AE2FA5">
              <w:t xml:space="preserve">stora </w:t>
            </w:r>
            <w:r w:rsidR="009060D0">
              <w:t>ändringar</w:t>
            </w:r>
            <w:proofErr w:type="gramEnd"/>
            <w:r w:rsidR="009060D0">
              <w:t xml:space="preserve"> av </w:t>
            </w:r>
            <w:r w:rsidR="00191CC5">
              <w:t>placering och text för tillämpningen</w:t>
            </w:r>
            <w:r w:rsidR="00C8003C">
              <w:t>.</w:t>
            </w:r>
          </w:p>
        </w:tc>
      </w:tr>
      <w:tr w:rsidR="009F7DC8" w:rsidRPr="00D6306A" w14:paraId="69DBBB5B" w14:textId="77777777" w:rsidTr="004B47A0">
        <w:trPr>
          <w:trHeight w:val="561"/>
        </w:trPr>
        <w:tc>
          <w:tcPr>
            <w:tcW w:w="2174" w:type="dxa"/>
          </w:tcPr>
          <w:p w14:paraId="556DD72F" w14:textId="35ED9D29" w:rsidR="0045462F" w:rsidRDefault="00D6306A" w:rsidP="0057782B">
            <w:r>
              <w:t>23 tjänsters överensstämmelse</w:t>
            </w:r>
          </w:p>
        </w:tc>
        <w:tc>
          <w:tcPr>
            <w:tcW w:w="3216" w:type="dxa"/>
          </w:tcPr>
          <w:p w14:paraId="7B03911D" w14:textId="27E04549" w:rsidR="0045462F" w:rsidRPr="005817F0" w:rsidRDefault="00D6306A" w:rsidP="0057782B">
            <w:pPr>
              <w:rPr>
                <w:lang w:val="en-GB"/>
              </w:rPr>
            </w:pPr>
            <w:r>
              <w:rPr>
                <w:lang w:val="en-GB"/>
              </w:rPr>
              <w:t>30, 31</w:t>
            </w:r>
            <w:r w:rsidR="00607734">
              <w:rPr>
                <w:lang w:val="en-GB"/>
              </w:rPr>
              <w:t xml:space="preserve">, </w:t>
            </w:r>
            <w:proofErr w:type="spellStart"/>
            <w:r w:rsidR="001E3757">
              <w:rPr>
                <w:lang w:val="en-GB"/>
              </w:rPr>
              <w:t>ev</w:t>
            </w:r>
            <w:proofErr w:type="spellEnd"/>
            <w:r w:rsidR="001E3757">
              <w:rPr>
                <w:lang w:val="en-GB"/>
              </w:rPr>
              <w:t xml:space="preserve"> </w:t>
            </w:r>
            <w:r w:rsidR="00607734">
              <w:rPr>
                <w:lang w:val="en-GB"/>
              </w:rPr>
              <w:t>32</w:t>
            </w:r>
            <w:r w:rsidR="00F60E90">
              <w:rPr>
                <w:lang w:val="en-GB"/>
              </w:rPr>
              <w:t xml:space="preserve"> 33 34</w:t>
            </w:r>
            <w:r w:rsidR="006E7DC2">
              <w:rPr>
                <w:lang w:val="en-GB"/>
              </w:rPr>
              <w:t>, 35 36</w:t>
            </w:r>
            <w:r w:rsidR="00607734">
              <w:rPr>
                <w:lang w:val="en-GB"/>
              </w:rPr>
              <w:t xml:space="preserve"> </w:t>
            </w:r>
            <w:r>
              <w:rPr>
                <w:lang w:val="en-GB"/>
              </w:rPr>
              <w:t xml:space="preserve">§ </w:t>
            </w:r>
            <w:r w:rsidR="00D377C5">
              <w:rPr>
                <w:lang w:val="en-GB"/>
              </w:rPr>
              <w:t>(</w:t>
            </w:r>
            <w:proofErr w:type="spellStart"/>
            <w:r w:rsidR="00D377C5">
              <w:rPr>
                <w:lang w:val="en-GB"/>
              </w:rPr>
              <w:t>delvis</w:t>
            </w:r>
            <w:proofErr w:type="spellEnd"/>
            <w:r w:rsidR="00D377C5">
              <w:rPr>
                <w:lang w:val="en-GB"/>
              </w:rPr>
              <w:t>)</w:t>
            </w:r>
          </w:p>
        </w:tc>
        <w:tc>
          <w:tcPr>
            <w:tcW w:w="8604" w:type="dxa"/>
          </w:tcPr>
          <w:p w14:paraId="52E3024A" w14:textId="742B4BA4" w:rsidR="0045462F" w:rsidRPr="00D6306A" w:rsidRDefault="00D6306A" w:rsidP="00D6306A">
            <w:r w:rsidRPr="008C0351">
              <w:t xml:space="preserve">Direktivet innehåller </w:t>
            </w:r>
            <w:r>
              <w:t xml:space="preserve">2 delar som handlar om att </w:t>
            </w:r>
            <w:r w:rsidRPr="00925141">
              <w:t>kontrollera att</w:t>
            </w:r>
            <w:r>
              <w:t xml:space="preserve"> </w:t>
            </w:r>
            <w:r w:rsidRPr="00925141">
              <w:t xml:space="preserve">tjänster överensstämmer med kraven i detta direktiv, </w:t>
            </w:r>
            <w:r>
              <w:t xml:space="preserve">uppföljning av klagomål, kontroll av nödvändiga korrigerande åtgärder samt tillsyn och att allmänheten har kännedom om kontrollen. </w:t>
            </w:r>
            <w:proofErr w:type="spellStart"/>
            <w:r>
              <w:t>Prop</w:t>
            </w:r>
            <w:proofErr w:type="spellEnd"/>
            <w:r>
              <w:t xml:space="preserve"> innehåller bara hänvisning till att regeringen ska utse tillsynsmyndighet och föreskriftsrätt.</w:t>
            </w:r>
            <w:r w:rsidR="00915804">
              <w:t xml:space="preserve"> Oklart om </w:t>
            </w:r>
            <w:proofErr w:type="spellStart"/>
            <w:r w:rsidR="007D1248">
              <w:t>prop</w:t>
            </w:r>
            <w:proofErr w:type="spellEnd"/>
            <w:r w:rsidR="007D1248">
              <w:t xml:space="preserve"> </w:t>
            </w:r>
            <w:r w:rsidR="00915804">
              <w:t>§</w:t>
            </w:r>
            <w:proofErr w:type="gramStart"/>
            <w:r w:rsidR="00915804">
              <w:t>32</w:t>
            </w:r>
            <w:r w:rsidR="00F60E90">
              <w:t>-34</w:t>
            </w:r>
            <w:proofErr w:type="gramEnd"/>
            <w:r w:rsidR="007D1248">
              <w:t xml:space="preserve"> samt § 35 om vitesföreläggande och 36 om stöd från polis gäller.</w:t>
            </w:r>
          </w:p>
        </w:tc>
      </w:tr>
      <w:tr w:rsidR="009F7DC8" w:rsidRPr="005817F0" w14:paraId="291BD143" w14:textId="77777777" w:rsidTr="004B47A0">
        <w:trPr>
          <w:trHeight w:val="561"/>
        </w:trPr>
        <w:tc>
          <w:tcPr>
            <w:tcW w:w="2174" w:type="dxa"/>
          </w:tcPr>
          <w:p w14:paraId="5E1A2448" w14:textId="00958304" w:rsidR="0045462F" w:rsidRPr="00D6306A" w:rsidRDefault="00EB6FA2" w:rsidP="0057782B">
            <w:r>
              <w:t>24 Andra unionsakter</w:t>
            </w:r>
          </w:p>
        </w:tc>
        <w:tc>
          <w:tcPr>
            <w:tcW w:w="3216" w:type="dxa"/>
          </w:tcPr>
          <w:p w14:paraId="0065FFB1" w14:textId="2A672EC5" w:rsidR="0045462F" w:rsidRPr="00ED3B66" w:rsidRDefault="000C1307" w:rsidP="0057782B">
            <w:pPr>
              <w:rPr>
                <w:b/>
                <w:bCs/>
                <w:lang w:val="en-GB"/>
              </w:rPr>
            </w:pPr>
            <w:r w:rsidRPr="00ED3B66">
              <w:rPr>
                <w:b/>
                <w:bCs/>
                <w:highlight w:val="yellow"/>
              </w:rPr>
              <w:t>Saknas i svensk lag</w:t>
            </w:r>
          </w:p>
        </w:tc>
        <w:tc>
          <w:tcPr>
            <w:tcW w:w="8604" w:type="dxa"/>
          </w:tcPr>
          <w:p w14:paraId="4209EB87" w14:textId="164F02BA" w:rsidR="00C748D8" w:rsidRDefault="00380F16" w:rsidP="0057782B">
            <w:r>
              <w:t>Direktivet a</w:t>
            </w:r>
            <w:r w:rsidR="00DE7E97" w:rsidRPr="00DE7E97">
              <w:t xml:space="preserve">rtikel 24.2 är central för </w:t>
            </w:r>
            <w:r w:rsidR="00DE7E97">
              <w:t xml:space="preserve">hela det horisontella direktivet, nämligen att tillgänglighetskraven i bilagor ska kunna </w:t>
            </w:r>
            <w:r>
              <w:t>visa på överensstämmelse för obligatoriska tillgänglighetskrav som finns i upphandlingsdirektiven (för allt som ska användas av fysiska personer) och förordningen för strukturfonderna</w:t>
            </w:r>
            <w:r w:rsidR="000C7A64">
              <w:rPr>
                <w:rStyle w:val="Slutnotsreferens"/>
              </w:rPr>
              <w:endnoteReference w:id="1"/>
            </w:r>
            <w:r>
              <w:t xml:space="preserve"> samt för kommande unionsakter med hänvisningar.</w:t>
            </w:r>
          </w:p>
          <w:p w14:paraId="2CCFECEE" w14:textId="3638CA16" w:rsidR="00C748D8" w:rsidRPr="00C748D8" w:rsidRDefault="000144CC" w:rsidP="00C748D8">
            <w:pPr>
              <w:rPr>
                <w:rFonts w:ascii="Calibri" w:hAnsi="Calibri" w:cs="Calibri"/>
                <w:sz w:val="22"/>
                <w:szCs w:val="22"/>
                <w:lang w:eastAsia="en-US"/>
              </w:rPr>
            </w:pPr>
            <w:r>
              <w:t>Föru</w:t>
            </w:r>
            <w:r w:rsidR="003328ED">
              <w:t xml:space="preserve">tom existerande direktiv och förordning </w:t>
            </w:r>
            <w:r w:rsidR="009F14C3">
              <w:t xml:space="preserve">finns koppling till </w:t>
            </w:r>
            <w:r w:rsidR="00C748D8">
              <w:t>flera nya EU-regleringar som förhandlas</w:t>
            </w:r>
            <w:r w:rsidR="009F14C3">
              <w:t>:</w:t>
            </w:r>
            <w:r>
              <w:t xml:space="preserve"> </w:t>
            </w:r>
          </w:p>
          <w:p w14:paraId="3FC13BE1" w14:textId="779331AA" w:rsidR="00C748D8" w:rsidRPr="00253DAD" w:rsidRDefault="00000000" w:rsidP="00C748D8">
            <w:pPr>
              <w:pStyle w:val="Liststycke"/>
              <w:numPr>
                <w:ilvl w:val="0"/>
                <w:numId w:val="1"/>
              </w:numPr>
              <w:rPr>
                <w:rFonts w:eastAsia="Times New Roman"/>
                <w:lang w:eastAsia="en-US"/>
              </w:rPr>
            </w:pPr>
            <w:hyperlink r:id="rId10" w:history="1">
              <w:r w:rsidR="000768A6" w:rsidRPr="00253DAD">
                <w:rPr>
                  <w:rStyle w:val="Hyperlnk"/>
                  <w:rFonts w:eastAsia="Times New Roman"/>
                  <w:lang w:eastAsia="en-US"/>
                </w:rPr>
                <w:t>Förslag till förordning</w:t>
              </w:r>
              <w:r w:rsidR="00C748D8" w:rsidRPr="00253DAD">
                <w:rPr>
                  <w:rStyle w:val="Hyperlnk"/>
                  <w:rFonts w:eastAsia="Times New Roman"/>
                  <w:lang w:eastAsia="en-US"/>
                </w:rPr>
                <w:t xml:space="preserve"> </w:t>
              </w:r>
              <w:r w:rsidR="000768A6" w:rsidRPr="00253DAD">
                <w:rPr>
                  <w:rStyle w:val="Hyperlnk"/>
                  <w:rFonts w:eastAsia="Times New Roman"/>
                  <w:lang w:eastAsia="en-US"/>
                </w:rPr>
                <w:t>om</w:t>
              </w:r>
              <w:r w:rsidR="00C748D8" w:rsidRPr="00253DAD">
                <w:rPr>
                  <w:rStyle w:val="Hyperlnk"/>
                  <w:rFonts w:eastAsia="Times New Roman"/>
                  <w:lang w:eastAsia="en-US"/>
                </w:rPr>
                <w:t xml:space="preserve"> </w:t>
              </w:r>
              <w:r w:rsidR="00253DAD" w:rsidRPr="00253DAD">
                <w:rPr>
                  <w:rStyle w:val="Hyperlnk"/>
                  <w:rFonts w:eastAsia="Times New Roman"/>
                  <w:lang w:eastAsia="en-US"/>
                </w:rPr>
                <w:t>T</w:t>
              </w:r>
              <w:r w:rsidR="00C748D8" w:rsidRPr="00253DAD">
                <w:rPr>
                  <w:rStyle w:val="Hyperlnk"/>
                  <w:rFonts w:eastAsia="Times New Roman"/>
                  <w:lang w:eastAsia="en-US"/>
                </w:rPr>
                <w:t xml:space="preserve">he </w:t>
              </w:r>
              <w:proofErr w:type="spellStart"/>
              <w:r w:rsidR="00C748D8" w:rsidRPr="00253DAD">
                <w:rPr>
                  <w:rStyle w:val="Hyperlnk"/>
                  <w:rFonts w:eastAsia="Times New Roman"/>
                  <w:lang w:eastAsia="en-US"/>
                </w:rPr>
                <w:t>deployment</w:t>
              </w:r>
              <w:proofErr w:type="spellEnd"/>
              <w:r w:rsidR="00C748D8" w:rsidRPr="00253DAD">
                <w:rPr>
                  <w:rStyle w:val="Hyperlnk"/>
                  <w:rFonts w:eastAsia="Times New Roman"/>
                  <w:lang w:eastAsia="en-US"/>
                </w:rPr>
                <w:t xml:space="preserve"> </w:t>
              </w:r>
              <w:proofErr w:type="spellStart"/>
              <w:r w:rsidR="00C748D8" w:rsidRPr="00253DAD">
                <w:rPr>
                  <w:rStyle w:val="Hyperlnk"/>
                  <w:rFonts w:eastAsia="Times New Roman"/>
                  <w:lang w:eastAsia="en-US"/>
                </w:rPr>
                <w:t>of</w:t>
              </w:r>
              <w:proofErr w:type="spellEnd"/>
              <w:r w:rsidR="00C748D8" w:rsidRPr="00253DAD">
                <w:rPr>
                  <w:rStyle w:val="Hyperlnk"/>
                  <w:rFonts w:eastAsia="Times New Roman"/>
                  <w:lang w:eastAsia="en-US"/>
                </w:rPr>
                <w:t xml:space="preserve"> Alternative </w:t>
              </w:r>
              <w:proofErr w:type="spellStart"/>
              <w:r w:rsidR="00C748D8" w:rsidRPr="00253DAD">
                <w:rPr>
                  <w:rStyle w:val="Hyperlnk"/>
                  <w:rFonts w:eastAsia="Times New Roman"/>
                  <w:lang w:eastAsia="en-US"/>
                </w:rPr>
                <w:t>Fuels</w:t>
              </w:r>
              <w:proofErr w:type="spellEnd"/>
              <w:r w:rsidR="00C748D8" w:rsidRPr="00253DAD">
                <w:rPr>
                  <w:rStyle w:val="Hyperlnk"/>
                  <w:rFonts w:eastAsia="Times New Roman"/>
                  <w:lang w:eastAsia="en-US"/>
                </w:rPr>
                <w:t xml:space="preserve"> </w:t>
              </w:r>
              <w:proofErr w:type="spellStart"/>
              <w:r w:rsidR="00C748D8" w:rsidRPr="00253DAD">
                <w:rPr>
                  <w:rStyle w:val="Hyperlnk"/>
                  <w:rFonts w:eastAsia="Times New Roman"/>
                  <w:lang w:eastAsia="en-US"/>
                </w:rPr>
                <w:t>Infrastructure</w:t>
              </w:r>
              <w:proofErr w:type="spellEnd"/>
            </w:hyperlink>
            <w:r w:rsidR="00C748D8" w:rsidRPr="00253DAD">
              <w:rPr>
                <w:rFonts w:eastAsia="Times New Roman"/>
                <w:lang w:eastAsia="en-US"/>
              </w:rPr>
              <w:t xml:space="preserve"> (</w:t>
            </w:r>
            <w:r w:rsidR="00253DAD" w:rsidRPr="00253DAD">
              <w:rPr>
                <w:rFonts w:eastAsia="Times New Roman"/>
                <w:lang w:eastAsia="en-US"/>
              </w:rPr>
              <w:t>f</w:t>
            </w:r>
            <w:r w:rsidR="00253DAD">
              <w:t>örhandling pågår</w:t>
            </w:r>
            <w:r w:rsidR="00C748D8" w:rsidRPr="00253DAD">
              <w:rPr>
                <w:rFonts w:eastAsia="Times New Roman"/>
                <w:lang w:eastAsia="en-US"/>
              </w:rPr>
              <w:t>): Arti</w:t>
            </w:r>
            <w:r w:rsidR="00253DAD">
              <w:rPr>
                <w:rFonts w:eastAsia="Times New Roman"/>
                <w:lang w:eastAsia="en-US"/>
              </w:rPr>
              <w:t>kel</w:t>
            </w:r>
            <w:r w:rsidR="00C748D8" w:rsidRPr="00253DAD">
              <w:rPr>
                <w:rFonts w:eastAsia="Times New Roman"/>
                <w:lang w:eastAsia="en-US"/>
              </w:rPr>
              <w:t xml:space="preserve"> 13 </w:t>
            </w:r>
            <w:r w:rsidR="00253DAD">
              <w:rPr>
                <w:rFonts w:eastAsia="Times New Roman"/>
                <w:lang w:eastAsia="en-US"/>
              </w:rPr>
              <w:t>nämner</w:t>
            </w:r>
            <w:r w:rsidR="00C748D8" w:rsidRPr="00253DAD">
              <w:rPr>
                <w:rFonts w:eastAsia="Times New Roman"/>
                <w:lang w:eastAsia="en-US"/>
              </w:rPr>
              <w:t xml:space="preserve"> EAA</w:t>
            </w:r>
          </w:p>
          <w:p w14:paraId="73230EC6" w14:textId="12A0F860" w:rsidR="00C748D8" w:rsidRDefault="00000000" w:rsidP="00C748D8">
            <w:pPr>
              <w:pStyle w:val="Liststycke"/>
              <w:numPr>
                <w:ilvl w:val="0"/>
                <w:numId w:val="1"/>
              </w:numPr>
              <w:rPr>
                <w:rFonts w:eastAsia="Times New Roman"/>
                <w:lang w:val="en-GB" w:eastAsia="en-US"/>
              </w:rPr>
            </w:pPr>
            <w:hyperlink r:id="rId11" w:history="1">
              <w:r w:rsidR="00C748D8">
                <w:rPr>
                  <w:rStyle w:val="Hyperlnk"/>
                  <w:rFonts w:eastAsia="Times New Roman"/>
                  <w:lang w:val="en-GB" w:eastAsia="en-US"/>
                </w:rPr>
                <w:t>European Regulation on Rail Passenger Rights</w:t>
              </w:r>
            </w:hyperlink>
            <w:r w:rsidR="00C748D8">
              <w:rPr>
                <w:rFonts w:eastAsia="Times New Roman"/>
                <w:lang w:val="en-GB" w:eastAsia="en-US"/>
              </w:rPr>
              <w:t xml:space="preserve"> (adopted in 2021): Arti</w:t>
            </w:r>
            <w:r w:rsidR="00253DAD">
              <w:rPr>
                <w:rFonts w:eastAsia="Times New Roman"/>
                <w:lang w:val="en-GB" w:eastAsia="en-US"/>
              </w:rPr>
              <w:t>kel</w:t>
            </w:r>
            <w:r w:rsidR="00C748D8">
              <w:rPr>
                <w:rFonts w:eastAsia="Times New Roman"/>
                <w:lang w:val="en-GB" w:eastAsia="en-US"/>
              </w:rPr>
              <w:t xml:space="preserve"> 8, 9, 22, </w:t>
            </w:r>
            <w:r w:rsidR="00253DAD">
              <w:rPr>
                <w:rFonts w:eastAsia="Times New Roman"/>
                <w:lang w:val="en-GB" w:eastAsia="en-US"/>
              </w:rPr>
              <w:t xml:space="preserve">och </w:t>
            </w:r>
            <w:r w:rsidR="00C748D8">
              <w:rPr>
                <w:rFonts w:eastAsia="Times New Roman"/>
                <w:lang w:val="en-GB" w:eastAsia="en-US"/>
              </w:rPr>
              <w:t xml:space="preserve">30 </w:t>
            </w:r>
            <w:proofErr w:type="spellStart"/>
            <w:r w:rsidR="00253DAD">
              <w:rPr>
                <w:rFonts w:eastAsia="Times New Roman"/>
                <w:lang w:val="en-GB" w:eastAsia="en-US"/>
              </w:rPr>
              <w:t>nämner</w:t>
            </w:r>
            <w:proofErr w:type="spellEnd"/>
            <w:r w:rsidR="00C748D8">
              <w:rPr>
                <w:rFonts w:eastAsia="Times New Roman"/>
                <w:lang w:val="en-GB" w:eastAsia="en-US"/>
              </w:rPr>
              <w:t xml:space="preserve"> </w:t>
            </w:r>
            <w:proofErr w:type="gramStart"/>
            <w:r w:rsidR="00C748D8">
              <w:rPr>
                <w:rFonts w:eastAsia="Times New Roman"/>
                <w:lang w:val="en-GB" w:eastAsia="en-US"/>
              </w:rPr>
              <w:t>EAA</w:t>
            </w:r>
            <w:proofErr w:type="gramEnd"/>
          </w:p>
          <w:p w14:paraId="34910BE7" w14:textId="6F817887" w:rsidR="009F14C3" w:rsidRPr="000768A6" w:rsidRDefault="00000000" w:rsidP="005C1850">
            <w:pPr>
              <w:pStyle w:val="Liststycke"/>
              <w:numPr>
                <w:ilvl w:val="0"/>
                <w:numId w:val="1"/>
              </w:numPr>
            </w:pPr>
            <w:hyperlink r:id="rId12" w:history="1">
              <w:r w:rsidR="000768A6" w:rsidRPr="000768A6">
                <w:rPr>
                  <w:rStyle w:val="Hyperlnk"/>
                  <w:rFonts w:eastAsia="Times New Roman"/>
                  <w:lang w:eastAsia="en-US"/>
                </w:rPr>
                <w:t>F</w:t>
              </w:r>
              <w:r w:rsidR="000768A6" w:rsidRPr="000768A6">
                <w:rPr>
                  <w:rStyle w:val="Hyperlnk"/>
                  <w:rFonts w:eastAsia="Times New Roman"/>
                </w:rPr>
                <w:t xml:space="preserve">örslag till förordning om </w:t>
              </w:r>
              <w:proofErr w:type="spellStart"/>
              <w:r w:rsidR="00C748D8" w:rsidRPr="000768A6">
                <w:rPr>
                  <w:rStyle w:val="Hyperlnk"/>
                  <w:rFonts w:eastAsia="Times New Roman"/>
                  <w:lang w:eastAsia="en-US"/>
                </w:rPr>
                <w:t>European</w:t>
              </w:r>
              <w:proofErr w:type="spellEnd"/>
              <w:r w:rsidR="00C748D8" w:rsidRPr="000768A6">
                <w:rPr>
                  <w:rStyle w:val="Hyperlnk"/>
                  <w:rFonts w:eastAsia="Times New Roman"/>
                  <w:lang w:eastAsia="en-US"/>
                </w:rPr>
                <w:t xml:space="preserve"> Digital </w:t>
              </w:r>
              <w:proofErr w:type="spellStart"/>
              <w:r w:rsidR="00C748D8" w:rsidRPr="000768A6">
                <w:rPr>
                  <w:rStyle w:val="Hyperlnk"/>
                  <w:rFonts w:eastAsia="Times New Roman"/>
                  <w:lang w:eastAsia="en-US"/>
                </w:rPr>
                <w:t>Identity</w:t>
              </w:r>
              <w:proofErr w:type="spellEnd"/>
            </w:hyperlink>
            <w:r w:rsidR="00C748D8" w:rsidRPr="000768A6">
              <w:rPr>
                <w:rFonts w:eastAsia="Times New Roman"/>
                <w:lang w:eastAsia="en-US"/>
              </w:rPr>
              <w:t xml:space="preserve"> (</w:t>
            </w:r>
            <w:r w:rsidR="000768A6">
              <w:rPr>
                <w:rFonts w:eastAsia="Times New Roman"/>
                <w:lang w:eastAsia="en-US"/>
              </w:rPr>
              <w:t>förhandling pågår</w:t>
            </w:r>
            <w:r w:rsidR="00C748D8" w:rsidRPr="000768A6">
              <w:rPr>
                <w:rFonts w:eastAsia="Times New Roman"/>
                <w:lang w:eastAsia="en-US"/>
              </w:rPr>
              <w:t>): Arti</w:t>
            </w:r>
            <w:r w:rsidR="000768A6">
              <w:rPr>
                <w:rFonts w:eastAsia="Times New Roman"/>
                <w:lang w:eastAsia="en-US"/>
              </w:rPr>
              <w:t xml:space="preserve">kel </w:t>
            </w:r>
            <w:r w:rsidR="00C748D8" w:rsidRPr="000768A6">
              <w:rPr>
                <w:rFonts w:eastAsia="Times New Roman"/>
                <w:lang w:eastAsia="en-US"/>
              </w:rPr>
              <w:t xml:space="preserve">15 </w:t>
            </w:r>
            <w:r w:rsidR="000768A6">
              <w:rPr>
                <w:rFonts w:eastAsia="Times New Roman"/>
                <w:lang w:eastAsia="en-US"/>
              </w:rPr>
              <w:t>nämner</w:t>
            </w:r>
            <w:r w:rsidR="00C748D8" w:rsidRPr="000768A6">
              <w:rPr>
                <w:rFonts w:eastAsia="Times New Roman"/>
                <w:lang w:eastAsia="en-US"/>
              </w:rPr>
              <w:t xml:space="preserve"> EAA</w:t>
            </w:r>
          </w:p>
          <w:p w14:paraId="4470D322" w14:textId="0EC2AA1F" w:rsidR="009F14C3" w:rsidRDefault="00C748D8" w:rsidP="0057782B">
            <w:pPr>
              <w:pStyle w:val="Liststycke"/>
              <w:numPr>
                <w:ilvl w:val="0"/>
                <w:numId w:val="1"/>
              </w:numPr>
              <w:rPr>
                <w:lang w:val="en-GB"/>
              </w:rPr>
            </w:pPr>
            <w:r w:rsidRPr="009F14C3">
              <w:rPr>
                <w:lang w:val="en-GB" w:eastAsia="en-US"/>
              </w:rPr>
              <w:t xml:space="preserve">EAA </w:t>
            </w:r>
            <w:proofErr w:type="spellStart"/>
            <w:r w:rsidR="000768A6">
              <w:rPr>
                <w:lang w:val="en-GB" w:eastAsia="en-US"/>
              </w:rPr>
              <w:t>referens</w:t>
            </w:r>
            <w:proofErr w:type="spellEnd"/>
            <w:r w:rsidR="000768A6">
              <w:rPr>
                <w:lang w:val="en-GB" w:eastAsia="en-US"/>
              </w:rPr>
              <w:t xml:space="preserve"> i </w:t>
            </w:r>
            <w:proofErr w:type="spellStart"/>
            <w:r w:rsidR="000768A6">
              <w:rPr>
                <w:lang w:val="en-GB" w:eastAsia="en-US"/>
              </w:rPr>
              <w:t>Europaparlamentets</w:t>
            </w:r>
            <w:proofErr w:type="spellEnd"/>
            <w:r w:rsidR="000768A6">
              <w:rPr>
                <w:lang w:val="en-GB" w:eastAsia="en-US"/>
              </w:rPr>
              <w:t xml:space="preserve"> </w:t>
            </w:r>
            <w:proofErr w:type="spellStart"/>
            <w:r w:rsidR="000768A6">
              <w:rPr>
                <w:lang w:val="en-GB" w:eastAsia="en-US"/>
              </w:rPr>
              <w:t>ändringsförslag</w:t>
            </w:r>
            <w:proofErr w:type="spellEnd"/>
            <w:r w:rsidR="000768A6">
              <w:rPr>
                <w:lang w:val="en-GB" w:eastAsia="en-US"/>
              </w:rPr>
              <w:t xml:space="preserve"> i dr</w:t>
            </w:r>
            <w:r w:rsidRPr="009F14C3">
              <w:rPr>
                <w:lang w:val="en-GB" w:eastAsia="en-US"/>
              </w:rPr>
              <w:t xml:space="preserve">aft report on the </w:t>
            </w:r>
            <w:hyperlink r:id="rId13" w:history="1">
              <w:r w:rsidRPr="00B300A8">
                <w:rPr>
                  <w:rStyle w:val="Hyperlnk"/>
                  <w:lang w:val="en-GB" w:eastAsia="en-US"/>
                </w:rPr>
                <w:t>AI Act</w:t>
              </w:r>
            </w:hyperlink>
            <w:r w:rsidRPr="009F14C3">
              <w:rPr>
                <w:lang w:val="en-GB" w:eastAsia="en-US"/>
              </w:rPr>
              <w:t xml:space="preserve"> and </w:t>
            </w:r>
            <w:hyperlink r:id="rId14" w:history="1">
              <w:r w:rsidRPr="009F14C3">
                <w:rPr>
                  <w:rStyle w:val="Hyperlnk"/>
                  <w:lang w:val="en-GB" w:eastAsia="en-US"/>
                </w:rPr>
                <w:t>TEN-T Guidelines</w:t>
              </w:r>
            </w:hyperlink>
            <w:r w:rsidR="009F14C3">
              <w:rPr>
                <w:lang w:val="en-GB" w:eastAsia="en-US"/>
              </w:rPr>
              <w:t>.</w:t>
            </w:r>
          </w:p>
          <w:p w14:paraId="40EC23C9" w14:textId="170DEEF0" w:rsidR="000768A6" w:rsidRPr="000768A6" w:rsidRDefault="00000000" w:rsidP="0057782B">
            <w:pPr>
              <w:pStyle w:val="Liststycke"/>
              <w:numPr>
                <w:ilvl w:val="0"/>
                <w:numId w:val="1"/>
              </w:numPr>
            </w:pPr>
            <w:hyperlink r:id="rId15" w:history="1">
              <w:r w:rsidR="000768A6" w:rsidRPr="000768A6">
                <w:rPr>
                  <w:rStyle w:val="Hyperlnk"/>
                </w:rPr>
                <w:t>Förslag till direktiv om likabehandlingsorgan</w:t>
              </w:r>
            </w:hyperlink>
            <w:r w:rsidR="000768A6">
              <w:t xml:space="preserve"> (under förhandling) omnämns i skälen och tillgänglighet i artikel. </w:t>
            </w:r>
          </w:p>
          <w:p w14:paraId="640EDC06" w14:textId="2D9DCECE" w:rsidR="0045462F" w:rsidRPr="009F14C3" w:rsidRDefault="00380F16" w:rsidP="009F14C3">
            <w:proofErr w:type="spellStart"/>
            <w:r w:rsidRPr="009F14C3">
              <w:rPr>
                <w:b/>
                <w:bCs/>
                <w:highlight w:val="yellow"/>
              </w:rPr>
              <w:t>Prop</w:t>
            </w:r>
            <w:proofErr w:type="spellEnd"/>
            <w:r w:rsidR="00737127" w:rsidRPr="009F14C3">
              <w:rPr>
                <w:b/>
                <w:bCs/>
                <w:highlight w:val="yellow"/>
              </w:rPr>
              <w:t xml:space="preserve"> </w:t>
            </w:r>
            <w:r w:rsidR="00D12126" w:rsidRPr="009F14C3">
              <w:rPr>
                <w:b/>
                <w:bCs/>
                <w:highlight w:val="yellow"/>
              </w:rPr>
              <w:t>saknar</w:t>
            </w:r>
            <w:r w:rsidR="00737127" w:rsidRPr="009F14C3">
              <w:rPr>
                <w:b/>
                <w:bCs/>
                <w:highlight w:val="yellow"/>
              </w:rPr>
              <w:t xml:space="preserve"> formulering</w:t>
            </w:r>
            <w:r w:rsidR="009F14C3">
              <w:rPr>
                <w:b/>
                <w:bCs/>
                <w:highlight w:val="yellow"/>
              </w:rPr>
              <w:t xml:space="preserve"> som motsvarar direktivet</w:t>
            </w:r>
            <w:r w:rsidR="00F34936">
              <w:rPr>
                <w:b/>
                <w:bCs/>
                <w:highlight w:val="yellow"/>
              </w:rPr>
              <w:t xml:space="preserve">, till skillnad mot Danmark där den finns </w:t>
            </w:r>
            <w:r w:rsidR="00737127" w:rsidRPr="009F14C3">
              <w:rPr>
                <w:b/>
                <w:bCs/>
                <w:highlight w:val="yellow"/>
              </w:rPr>
              <w:t xml:space="preserve">i </w:t>
            </w:r>
            <w:r w:rsidR="006864D8" w:rsidRPr="009F14C3">
              <w:rPr>
                <w:b/>
                <w:bCs/>
                <w:highlight w:val="yellow"/>
              </w:rPr>
              <w:t>artikel 52 dansk lag</w:t>
            </w:r>
            <w:r w:rsidR="006864D8" w:rsidRPr="009F14C3">
              <w:rPr>
                <w:b/>
                <w:bCs/>
              </w:rPr>
              <w:t>.</w:t>
            </w:r>
          </w:p>
        </w:tc>
      </w:tr>
      <w:tr w:rsidR="009F7DC8" w:rsidRPr="005817F0" w14:paraId="645E6A82" w14:textId="77777777" w:rsidTr="004B47A0">
        <w:trPr>
          <w:trHeight w:val="561"/>
        </w:trPr>
        <w:tc>
          <w:tcPr>
            <w:tcW w:w="2174" w:type="dxa"/>
          </w:tcPr>
          <w:p w14:paraId="23B294C1" w14:textId="067BC7F3" w:rsidR="0045462F" w:rsidRDefault="00A22FD8" w:rsidP="0057782B">
            <w:r>
              <w:t>25 Harmoniserade standarder</w:t>
            </w:r>
          </w:p>
        </w:tc>
        <w:tc>
          <w:tcPr>
            <w:tcW w:w="3216" w:type="dxa"/>
          </w:tcPr>
          <w:p w14:paraId="760AD356" w14:textId="515DB5C6" w:rsidR="0045462F" w:rsidRPr="00A25254" w:rsidRDefault="00A22FD8" w:rsidP="0057782B">
            <w:r>
              <w:t>9 § (delvis)</w:t>
            </w:r>
          </w:p>
        </w:tc>
        <w:tc>
          <w:tcPr>
            <w:tcW w:w="8604" w:type="dxa"/>
          </w:tcPr>
          <w:p w14:paraId="185A899F" w14:textId="7E501141" w:rsidR="0045462F" w:rsidRPr="00A22FD8" w:rsidRDefault="00A22FD8" w:rsidP="0057782B">
            <w:r w:rsidRPr="00A22FD8">
              <w:t>Se tidigare kommentarer under d</w:t>
            </w:r>
            <w:r>
              <w:t>irektivet § 4.</w:t>
            </w:r>
          </w:p>
        </w:tc>
      </w:tr>
      <w:tr w:rsidR="009F7DC8" w:rsidRPr="004142AA" w14:paraId="1DB219EC" w14:textId="77777777" w:rsidTr="004B47A0">
        <w:trPr>
          <w:trHeight w:val="561"/>
        </w:trPr>
        <w:tc>
          <w:tcPr>
            <w:tcW w:w="2174" w:type="dxa"/>
          </w:tcPr>
          <w:p w14:paraId="7DABB4FF" w14:textId="7DB3148E" w:rsidR="0045462F" w:rsidRDefault="00A22FD8" w:rsidP="0057782B">
            <w:r>
              <w:t xml:space="preserve">26 </w:t>
            </w:r>
            <w:r w:rsidR="004142AA">
              <w:t>Delegerade akter</w:t>
            </w:r>
          </w:p>
        </w:tc>
        <w:tc>
          <w:tcPr>
            <w:tcW w:w="3216" w:type="dxa"/>
          </w:tcPr>
          <w:p w14:paraId="502FD67E" w14:textId="1B3CBD7E" w:rsidR="0045462F" w:rsidRPr="00585168" w:rsidRDefault="004142AA" w:rsidP="0057782B">
            <w:pPr>
              <w:rPr>
                <w:lang w:val="en-GB"/>
              </w:rPr>
            </w:pPr>
            <w:proofErr w:type="spellStart"/>
            <w:r>
              <w:rPr>
                <w:lang w:val="en-GB"/>
              </w:rPr>
              <w:t>Oklart</w:t>
            </w:r>
            <w:proofErr w:type="spellEnd"/>
            <w:r>
              <w:rPr>
                <w:lang w:val="en-GB"/>
              </w:rPr>
              <w:t xml:space="preserve"> om </w:t>
            </w:r>
            <w:proofErr w:type="spellStart"/>
            <w:r>
              <w:rPr>
                <w:lang w:val="en-GB"/>
              </w:rPr>
              <w:t>motsvarighet</w:t>
            </w:r>
            <w:proofErr w:type="spellEnd"/>
          </w:p>
        </w:tc>
        <w:tc>
          <w:tcPr>
            <w:tcW w:w="8604" w:type="dxa"/>
          </w:tcPr>
          <w:p w14:paraId="56448513" w14:textId="09D6CC0E" w:rsidR="0045462F" w:rsidRPr="004142AA" w:rsidRDefault="004142AA" w:rsidP="0057782B">
            <w:r w:rsidRPr="004142AA">
              <w:t>Direktivet handlar om</w:t>
            </w:r>
            <w:r w:rsidR="008914BC">
              <w:t xml:space="preserve"> möjligheten för kommissionen att anta delegerade akter</w:t>
            </w:r>
            <w:r w:rsidR="00A26E11">
              <w:t xml:space="preserve"> vilket är bra att känna till.</w:t>
            </w:r>
          </w:p>
        </w:tc>
      </w:tr>
      <w:tr w:rsidR="009F7DC8" w:rsidRPr="00585168" w14:paraId="332359E4" w14:textId="77777777" w:rsidTr="004B47A0">
        <w:trPr>
          <w:trHeight w:val="561"/>
        </w:trPr>
        <w:tc>
          <w:tcPr>
            <w:tcW w:w="2174" w:type="dxa"/>
          </w:tcPr>
          <w:p w14:paraId="6B7BAC0F" w14:textId="4A8001A5" w:rsidR="0045462F" w:rsidRPr="004142AA" w:rsidRDefault="008914BC" w:rsidP="0057782B">
            <w:r>
              <w:t>27</w:t>
            </w:r>
            <w:r w:rsidR="009F7DC8">
              <w:t xml:space="preserve"> Kommitté-förfarande</w:t>
            </w:r>
          </w:p>
        </w:tc>
        <w:tc>
          <w:tcPr>
            <w:tcW w:w="3216" w:type="dxa"/>
          </w:tcPr>
          <w:p w14:paraId="38DACA85" w14:textId="2180933B" w:rsidR="0045462F" w:rsidRPr="00585168" w:rsidRDefault="009F7DC8" w:rsidP="0057782B">
            <w:pPr>
              <w:rPr>
                <w:lang w:val="en-GB"/>
              </w:rPr>
            </w:pPr>
            <w:r>
              <w:rPr>
                <w:lang w:val="en-GB"/>
              </w:rPr>
              <w:t xml:space="preserve">Ingen </w:t>
            </w:r>
            <w:proofErr w:type="spellStart"/>
            <w:r>
              <w:rPr>
                <w:lang w:val="en-GB"/>
              </w:rPr>
              <w:t>motsvarighet</w:t>
            </w:r>
            <w:proofErr w:type="spellEnd"/>
          </w:p>
        </w:tc>
        <w:tc>
          <w:tcPr>
            <w:tcW w:w="8604" w:type="dxa"/>
          </w:tcPr>
          <w:p w14:paraId="3C98207E" w14:textId="479FE2BB" w:rsidR="0045462F" w:rsidRPr="009F7DC8" w:rsidRDefault="009F7DC8" w:rsidP="0057782B">
            <w:r w:rsidRPr="009F7DC8">
              <w:t>Kommissionen ska biträdas av e</w:t>
            </w:r>
            <w:r>
              <w:t>n kommitté. Med hänsyn till de stora skillnaderna i den svenska lagen skulle det kanske ha behövts även nationellt.</w:t>
            </w:r>
          </w:p>
        </w:tc>
      </w:tr>
      <w:tr w:rsidR="009F7DC8" w:rsidRPr="00585168" w14:paraId="73E52D32" w14:textId="77777777" w:rsidTr="004B47A0">
        <w:trPr>
          <w:trHeight w:val="561"/>
        </w:trPr>
        <w:tc>
          <w:tcPr>
            <w:tcW w:w="2174" w:type="dxa"/>
          </w:tcPr>
          <w:p w14:paraId="4DC6913C" w14:textId="120E5688" w:rsidR="0045462F" w:rsidRDefault="009F7DC8" w:rsidP="0057782B">
            <w:r>
              <w:t>28</w:t>
            </w:r>
            <w:r w:rsidR="0062680F">
              <w:t xml:space="preserve"> Arbetsgrupp</w:t>
            </w:r>
          </w:p>
        </w:tc>
        <w:tc>
          <w:tcPr>
            <w:tcW w:w="3216" w:type="dxa"/>
          </w:tcPr>
          <w:p w14:paraId="08329B8E" w14:textId="2EFD688E" w:rsidR="0045462F" w:rsidRDefault="0062680F" w:rsidP="0057782B">
            <w:pPr>
              <w:rPr>
                <w:lang w:val="en-GB"/>
              </w:rPr>
            </w:pPr>
            <w:r>
              <w:rPr>
                <w:lang w:val="en-GB"/>
              </w:rPr>
              <w:t xml:space="preserve">Ingen </w:t>
            </w:r>
            <w:proofErr w:type="spellStart"/>
            <w:r>
              <w:rPr>
                <w:lang w:val="en-GB"/>
              </w:rPr>
              <w:t>motsvarighet</w:t>
            </w:r>
            <w:proofErr w:type="spellEnd"/>
          </w:p>
        </w:tc>
        <w:tc>
          <w:tcPr>
            <w:tcW w:w="8604" w:type="dxa"/>
          </w:tcPr>
          <w:p w14:paraId="1886512F" w14:textId="0324824E" w:rsidR="0045462F" w:rsidRPr="0062680F" w:rsidRDefault="0062680F" w:rsidP="0057782B">
            <w:r w:rsidRPr="0062680F">
              <w:t xml:space="preserve">En arbetsgrupp för genomförande. </w:t>
            </w:r>
            <w:r>
              <w:t xml:space="preserve">Med hänsyn till de stora skillnaderna i den svenska lagen skulle det kanske ha behövts även nationellt. Det finns exempel i andra länder på </w:t>
            </w:r>
            <w:r w:rsidR="00A5265E">
              <w:t>sådana lösningar där även funktionsrättsorg. ingår.</w:t>
            </w:r>
          </w:p>
        </w:tc>
      </w:tr>
      <w:tr w:rsidR="009F7DC8" w:rsidRPr="00585168" w14:paraId="7FECDC7C" w14:textId="77777777" w:rsidTr="004B47A0">
        <w:trPr>
          <w:trHeight w:val="561"/>
        </w:trPr>
        <w:tc>
          <w:tcPr>
            <w:tcW w:w="2174" w:type="dxa"/>
          </w:tcPr>
          <w:p w14:paraId="227175F6" w14:textId="2B6EE46E" w:rsidR="0045462F" w:rsidRDefault="00A5265E" w:rsidP="0057782B">
            <w:r>
              <w:t>29</w:t>
            </w:r>
            <w:r w:rsidR="003B1DF4">
              <w:t xml:space="preserve"> Efterlevnad</w:t>
            </w:r>
            <w:r>
              <w:t xml:space="preserve"> </w:t>
            </w:r>
          </w:p>
        </w:tc>
        <w:tc>
          <w:tcPr>
            <w:tcW w:w="3216" w:type="dxa"/>
          </w:tcPr>
          <w:p w14:paraId="7254AE02" w14:textId="7C73319E" w:rsidR="0045462F" w:rsidRPr="00D1441B" w:rsidRDefault="001F2456" w:rsidP="0057782B">
            <w:r w:rsidRPr="002136CF">
              <w:rPr>
                <w:highlight w:val="yellow"/>
              </w:rPr>
              <w:t xml:space="preserve">Nästan ingen motsvarighet </w:t>
            </w:r>
            <w:r w:rsidR="00D1441B" w:rsidRPr="002136CF">
              <w:rPr>
                <w:highlight w:val="yellow"/>
              </w:rPr>
              <w:t>41 § nämner överklagande</w:t>
            </w:r>
          </w:p>
        </w:tc>
        <w:tc>
          <w:tcPr>
            <w:tcW w:w="8604" w:type="dxa"/>
          </w:tcPr>
          <w:p w14:paraId="35A46CC0" w14:textId="41D70230" w:rsidR="0045462F" w:rsidRPr="00D1441B" w:rsidRDefault="00D1441B" w:rsidP="0057782B">
            <w:r>
              <w:t xml:space="preserve">Direktivet handlar om </w:t>
            </w:r>
            <w:r w:rsidR="00A0311A">
              <w:t>möjligheter för konsumenter och/eller offentliga organ</w:t>
            </w:r>
            <w:r w:rsidR="00917815">
              <w:t>, privata sammanslutningar eller organisationer</w:t>
            </w:r>
            <w:r w:rsidR="004300D9">
              <w:t xml:space="preserve"> med legitimt intresse att vidta åtgärder i domstol eller myndighet. </w:t>
            </w:r>
            <w:r w:rsidR="004300D9" w:rsidRPr="00BE317B">
              <w:rPr>
                <w:b/>
                <w:bCs/>
                <w:highlight w:val="yellow"/>
              </w:rPr>
              <w:t>Propositionen har i</w:t>
            </w:r>
            <w:r w:rsidR="00BE317B">
              <w:rPr>
                <w:b/>
                <w:bCs/>
                <w:highlight w:val="yellow"/>
              </w:rPr>
              <w:t xml:space="preserve">nte motsvarande </w:t>
            </w:r>
            <w:r w:rsidR="004300D9" w:rsidRPr="00BE317B">
              <w:rPr>
                <w:b/>
                <w:bCs/>
                <w:highlight w:val="yellow"/>
              </w:rPr>
              <w:t xml:space="preserve">text </w:t>
            </w:r>
            <w:r w:rsidR="00BE317B">
              <w:rPr>
                <w:b/>
                <w:bCs/>
                <w:highlight w:val="yellow"/>
              </w:rPr>
              <w:t>om</w:t>
            </w:r>
            <w:r w:rsidR="004300D9" w:rsidRPr="00BE317B">
              <w:rPr>
                <w:b/>
                <w:bCs/>
                <w:highlight w:val="yellow"/>
              </w:rPr>
              <w:t xml:space="preserve"> klagorätt för konsumenter och organisationer</w:t>
            </w:r>
            <w:r w:rsidR="004300D9">
              <w:t xml:space="preserve">. </w:t>
            </w:r>
            <w:r w:rsidR="00CA14A0">
              <w:t>Finns i §55 dansk lag.</w:t>
            </w:r>
            <w:r w:rsidR="00A0311A">
              <w:t xml:space="preserve"> </w:t>
            </w:r>
          </w:p>
        </w:tc>
      </w:tr>
      <w:tr w:rsidR="009F7DC8" w:rsidRPr="00585168" w14:paraId="0C022295" w14:textId="77777777" w:rsidTr="004B47A0">
        <w:trPr>
          <w:trHeight w:val="561"/>
        </w:trPr>
        <w:tc>
          <w:tcPr>
            <w:tcW w:w="2174" w:type="dxa"/>
          </w:tcPr>
          <w:p w14:paraId="170E3C40" w14:textId="1A0DBBE3" w:rsidR="0045462F" w:rsidRDefault="00D4370B" w:rsidP="0057782B">
            <w:r>
              <w:t>30 Sanktioner</w:t>
            </w:r>
          </w:p>
        </w:tc>
        <w:tc>
          <w:tcPr>
            <w:tcW w:w="3216" w:type="dxa"/>
          </w:tcPr>
          <w:p w14:paraId="258DC304" w14:textId="103B6350" w:rsidR="0045462F" w:rsidRDefault="000C1307" w:rsidP="0057782B">
            <w:pPr>
              <w:rPr>
                <w:lang w:val="en-GB"/>
              </w:rPr>
            </w:pPr>
            <w:r>
              <w:t xml:space="preserve">37, 38, 39, 40 </w:t>
            </w:r>
            <w:r w:rsidR="0045462F" w:rsidRPr="00A25254">
              <w:t xml:space="preserve">§ </w:t>
            </w:r>
            <w:r>
              <w:t>(delvis)</w:t>
            </w:r>
          </w:p>
        </w:tc>
        <w:tc>
          <w:tcPr>
            <w:tcW w:w="8604" w:type="dxa"/>
          </w:tcPr>
          <w:p w14:paraId="4A7F2D85" w14:textId="6803CDD0" w:rsidR="0045462F" w:rsidRPr="00B233D3" w:rsidRDefault="006969B9" w:rsidP="0057782B">
            <w:r w:rsidRPr="00B233D3">
              <w:t xml:space="preserve">Direktivet </w:t>
            </w:r>
            <w:r w:rsidR="00B233D3" w:rsidRPr="00B233D3">
              <w:t xml:space="preserve">innehåller </w:t>
            </w:r>
            <w:proofErr w:type="gramStart"/>
            <w:r w:rsidR="00B233D3" w:rsidRPr="00B233D3">
              <w:t>5 stycken</w:t>
            </w:r>
            <w:proofErr w:type="gramEnd"/>
            <w:r w:rsidR="00B233D3" w:rsidRPr="00B233D3">
              <w:t xml:space="preserve"> kort t</w:t>
            </w:r>
            <w:r w:rsidR="00B233D3">
              <w:t>ext</w:t>
            </w:r>
            <w:r w:rsidR="00761F11">
              <w:t xml:space="preserve"> bland annat om </w:t>
            </w:r>
            <w:r w:rsidR="00D52DD3">
              <w:t>att ”s</w:t>
            </w:r>
            <w:r w:rsidR="00D52DD3">
              <w:rPr>
                <w:color w:val="000000"/>
                <w:shd w:val="clear" w:color="auto" w:fill="FFFFFF"/>
              </w:rPr>
              <w:t xml:space="preserve">anktionerna ska vara effektiva, proportionella och avskräckande. Dessa sanktioner ska också åtföljas av effektiva korrigerande åtgärder vid fall av bristande efterlevnad från den ekonomiska aktörens sida.” </w:t>
            </w:r>
            <w:proofErr w:type="spellStart"/>
            <w:r w:rsidR="00D52DD3" w:rsidRPr="00042434">
              <w:rPr>
                <w:b/>
                <w:bCs/>
                <w:color w:val="000000"/>
                <w:highlight w:val="yellow"/>
                <w:shd w:val="clear" w:color="auto" w:fill="FFFFFF"/>
              </w:rPr>
              <w:t>Prop</w:t>
            </w:r>
            <w:proofErr w:type="spellEnd"/>
            <w:r w:rsidR="00D52DD3" w:rsidRPr="00042434">
              <w:rPr>
                <w:b/>
                <w:bCs/>
                <w:color w:val="000000"/>
                <w:highlight w:val="yellow"/>
                <w:shd w:val="clear" w:color="auto" w:fill="FFFFFF"/>
              </w:rPr>
              <w:t xml:space="preserve"> </w:t>
            </w:r>
            <w:r w:rsidR="00215C38" w:rsidRPr="00042434">
              <w:rPr>
                <w:b/>
                <w:bCs/>
                <w:color w:val="000000"/>
                <w:highlight w:val="yellow"/>
                <w:shd w:val="clear" w:color="auto" w:fill="FFFFFF"/>
              </w:rPr>
              <w:t>har helt annan text</w:t>
            </w:r>
            <w:r w:rsidR="00042434" w:rsidRPr="00042434">
              <w:rPr>
                <w:b/>
                <w:bCs/>
                <w:color w:val="000000"/>
                <w:highlight w:val="yellow"/>
                <w:shd w:val="clear" w:color="auto" w:fill="FFFFFF"/>
              </w:rPr>
              <w:t xml:space="preserve">, </w:t>
            </w:r>
            <w:r w:rsidR="00215C38" w:rsidRPr="00042434">
              <w:rPr>
                <w:b/>
                <w:bCs/>
                <w:color w:val="000000"/>
                <w:highlight w:val="yellow"/>
                <w:shd w:val="clear" w:color="auto" w:fill="FFFFFF"/>
              </w:rPr>
              <w:t xml:space="preserve">bland annat </w:t>
            </w:r>
            <w:r w:rsidR="00042434" w:rsidRPr="00042434">
              <w:rPr>
                <w:b/>
                <w:bCs/>
                <w:color w:val="000000"/>
                <w:highlight w:val="yellow"/>
                <w:shd w:val="clear" w:color="auto" w:fill="FFFFFF"/>
              </w:rPr>
              <w:t xml:space="preserve">att </w:t>
            </w:r>
            <w:r w:rsidR="00215C38" w:rsidRPr="00042434">
              <w:rPr>
                <w:b/>
                <w:bCs/>
                <w:color w:val="000000"/>
                <w:highlight w:val="yellow"/>
                <w:shd w:val="clear" w:color="auto" w:fill="FFFFFF"/>
              </w:rPr>
              <w:t xml:space="preserve">inte ta ut sanktioner </w:t>
            </w:r>
            <w:r w:rsidR="00042434" w:rsidRPr="00042434">
              <w:rPr>
                <w:b/>
                <w:bCs/>
                <w:color w:val="000000"/>
                <w:highlight w:val="yellow"/>
                <w:shd w:val="clear" w:color="auto" w:fill="FFFFFF"/>
              </w:rPr>
              <w:t>i ringa fall och inget om både sanktion och korrigering</w:t>
            </w:r>
            <w:r w:rsidR="00042434">
              <w:rPr>
                <w:color w:val="000000"/>
                <w:shd w:val="clear" w:color="auto" w:fill="FFFFFF"/>
              </w:rPr>
              <w:t>.</w:t>
            </w:r>
          </w:p>
        </w:tc>
      </w:tr>
      <w:tr w:rsidR="009F7DC8" w:rsidRPr="00585168" w14:paraId="6911C1CC" w14:textId="77777777" w:rsidTr="004B47A0">
        <w:trPr>
          <w:trHeight w:val="561"/>
        </w:trPr>
        <w:tc>
          <w:tcPr>
            <w:tcW w:w="2174" w:type="dxa"/>
          </w:tcPr>
          <w:p w14:paraId="7D524626" w14:textId="0399B3E2" w:rsidR="0045462F" w:rsidRDefault="00D4370B" w:rsidP="0057782B">
            <w:r>
              <w:t>3</w:t>
            </w:r>
            <w:r w:rsidR="0045462F">
              <w:t>1</w:t>
            </w:r>
            <w:r w:rsidR="00534418">
              <w:t xml:space="preserve"> Införlivande</w:t>
            </w:r>
          </w:p>
        </w:tc>
        <w:tc>
          <w:tcPr>
            <w:tcW w:w="3216" w:type="dxa"/>
          </w:tcPr>
          <w:p w14:paraId="1203FBA6" w14:textId="6ACE146B" w:rsidR="0045462F" w:rsidRPr="00A25254" w:rsidRDefault="00F873F4" w:rsidP="0057782B">
            <w:r>
              <w:t>Sist i lagförslag ingen paragraf.</w:t>
            </w:r>
          </w:p>
        </w:tc>
        <w:tc>
          <w:tcPr>
            <w:tcW w:w="8604" w:type="dxa"/>
          </w:tcPr>
          <w:p w14:paraId="3DD9D6C9" w14:textId="441C628A" w:rsidR="0045462F" w:rsidRPr="00534418" w:rsidRDefault="00534418" w:rsidP="0057782B">
            <w:r>
              <w:t xml:space="preserve">Direktivet handlar om när medlemsländerna ska införliva bestämmelser och underrätta kommissionen. </w:t>
            </w:r>
            <w:proofErr w:type="spellStart"/>
            <w:r w:rsidR="00F873F4">
              <w:t>Prop</w:t>
            </w:r>
            <w:proofErr w:type="spellEnd"/>
            <w:r w:rsidR="00F873F4">
              <w:t xml:space="preserve"> har text i slutet av lagförslag, inte i paragraf. OBS. </w:t>
            </w:r>
            <w:r>
              <w:t xml:space="preserve">olika tolkning av </w:t>
            </w:r>
            <w:r w:rsidRPr="008353A6">
              <w:rPr>
                <w:b/>
                <w:bCs/>
              </w:rPr>
              <w:t>ikraftträdande</w:t>
            </w:r>
            <w:r w:rsidR="008353A6" w:rsidRPr="008353A6">
              <w:rPr>
                <w:b/>
                <w:bCs/>
              </w:rPr>
              <w:t xml:space="preserve"> </w:t>
            </w:r>
            <w:r w:rsidR="00037604">
              <w:rPr>
                <w:b/>
                <w:bCs/>
              </w:rPr>
              <w:t xml:space="preserve">2022 i direktiv och Danmark men tillämpning </w:t>
            </w:r>
            <w:r w:rsidR="008353A6" w:rsidRPr="008353A6">
              <w:rPr>
                <w:b/>
                <w:bCs/>
              </w:rPr>
              <w:t>2025</w:t>
            </w:r>
            <w:r w:rsidR="00037604">
              <w:rPr>
                <w:b/>
                <w:bCs/>
              </w:rPr>
              <w:t xml:space="preserve">. Regeringen tolkar </w:t>
            </w:r>
            <w:r w:rsidR="00FA0C1E">
              <w:rPr>
                <w:b/>
                <w:bCs/>
              </w:rPr>
              <w:t xml:space="preserve">ikraftträdande </w:t>
            </w:r>
            <w:r w:rsidR="00037604">
              <w:rPr>
                <w:b/>
                <w:bCs/>
              </w:rPr>
              <w:t>2025</w:t>
            </w:r>
            <w:r>
              <w:t xml:space="preserve">. </w:t>
            </w:r>
          </w:p>
        </w:tc>
      </w:tr>
      <w:tr w:rsidR="009F7DC8" w:rsidRPr="00585168" w14:paraId="43510F5E" w14:textId="77777777" w:rsidTr="004B47A0">
        <w:trPr>
          <w:trHeight w:val="561"/>
        </w:trPr>
        <w:tc>
          <w:tcPr>
            <w:tcW w:w="2174" w:type="dxa"/>
          </w:tcPr>
          <w:p w14:paraId="59DFF9FD" w14:textId="51BE4F3C" w:rsidR="0045462F" w:rsidRDefault="00534418" w:rsidP="0057782B">
            <w:r>
              <w:t>32 Övergångsbest.</w:t>
            </w:r>
          </w:p>
        </w:tc>
        <w:tc>
          <w:tcPr>
            <w:tcW w:w="3216" w:type="dxa"/>
          </w:tcPr>
          <w:p w14:paraId="380B119F" w14:textId="02563B9C" w:rsidR="0045462F" w:rsidRDefault="00FA0C1E" w:rsidP="0057782B">
            <w:r>
              <w:t>Sist i lagförslaget efter paragrafer (delvis)</w:t>
            </w:r>
          </w:p>
        </w:tc>
        <w:tc>
          <w:tcPr>
            <w:tcW w:w="8604" w:type="dxa"/>
          </w:tcPr>
          <w:p w14:paraId="1BAFD37C" w14:textId="46C707C4" w:rsidR="0045462F" w:rsidRPr="007C4D5F" w:rsidRDefault="00295F5F" w:rsidP="0057782B">
            <w:r>
              <w:t xml:space="preserve">Direktivet </w:t>
            </w:r>
            <w:r w:rsidR="00FA0C1E">
              <w:t>har bestämmelser där vissa återfinns i text sist i lagförslag efter paragrafer i prop.</w:t>
            </w:r>
          </w:p>
        </w:tc>
      </w:tr>
      <w:tr w:rsidR="009F7DC8" w:rsidRPr="00585168" w14:paraId="00A5FE9D" w14:textId="77777777" w:rsidTr="004B47A0">
        <w:trPr>
          <w:trHeight w:val="561"/>
        </w:trPr>
        <w:tc>
          <w:tcPr>
            <w:tcW w:w="2174" w:type="dxa"/>
          </w:tcPr>
          <w:p w14:paraId="38566AA7" w14:textId="1D286BB6" w:rsidR="0045462F" w:rsidRDefault="00BA6698" w:rsidP="0057782B">
            <w:r>
              <w:t>33 Rapporter</w:t>
            </w:r>
          </w:p>
        </w:tc>
        <w:tc>
          <w:tcPr>
            <w:tcW w:w="3216" w:type="dxa"/>
          </w:tcPr>
          <w:p w14:paraId="34B6CCFA" w14:textId="2BB744D9" w:rsidR="0045462F" w:rsidRDefault="00AC739D" w:rsidP="0057782B">
            <w:r>
              <w:t>Ingen direkt motsvarighet</w:t>
            </w:r>
            <w:r w:rsidR="00F873F4">
              <w:t>.</w:t>
            </w:r>
          </w:p>
        </w:tc>
        <w:tc>
          <w:tcPr>
            <w:tcW w:w="8604" w:type="dxa"/>
          </w:tcPr>
          <w:p w14:paraId="63E26E15" w14:textId="2FD5A387" w:rsidR="0045462F" w:rsidRPr="00411F61" w:rsidRDefault="00AA4194" w:rsidP="0057782B">
            <w:r>
              <w:t xml:space="preserve">Direktivet beskriver </w:t>
            </w:r>
            <w:r w:rsidR="00253A1A">
              <w:t xml:space="preserve">krav på medlemsländerna att rapportera om </w:t>
            </w:r>
            <w:r w:rsidR="009A3D56">
              <w:t xml:space="preserve">tillämpning av bestämmelserna till kommissionen, även </w:t>
            </w:r>
            <w:r w:rsidR="00AC739D">
              <w:t xml:space="preserve">möjligheter för </w:t>
            </w:r>
            <w:r w:rsidR="009A3D56">
              <w:t>organisationer</w:t>
            </w:r>
            <w:r w:rsidR="00AC739D">
              <w:t>.</w:t>
            </w:r>
          </w:p>
        </w:tc>
      </w:tr>
      <w:tr w:rsidR="009F7DC8" w:rsidRPr="00585168" w14:paraId="685303EB" w14:textId="77777777" w:rsidTr="004B47A0">
        <w:trPr>
          <w:trHeight w:val="561"/>
        </w:trPr>
        <w:tc>
          <w:tcPr>
            <w:tcW w:w="2174" w:type="dxa"/>
          </w:tcPr>
          <w:p w14:paraId="2B95CA5D" w14:textId="0F9ECB02" w:rsidR="0045462F" w:rsidRDefault="00AD107D" w:rsidP="0057782B">
            <w:r>
              <w:t>34</w:t>
            </w:r>
          </w:p>
        </w:tc>
        <w:tc>
          <w:tcPr>
            <w:tcW w:w="3216" w:type="dxa"/>
          </w:tcPr>
          <w:p w14:paraId="6FB04A9C" w14:textId="6ECAC199" w:rsidR="0045462F" w:rsidRDefault="000C1225" w:rsidP="0057782B">
            <w:r>
              <w:t>Ej relevant i svensk lag</w:t>
            </w:r>
          </w:p>
        </w:tc>
        <w:tc>
          <w:tcPr>
            <w:tcW w:w="8604" w:type="dxa"/>
          </w:tcPr>
          <w:p w14:paraId="592B2C65" w14:textId="54DA0B85" w:rsidR="0045462F" w:rsidRPr="007C4D5F" w:rsidRDefault="007C4D5F" w:rsidP="0057782B">
            <w:r w:rsidRPr="007C4D5F">
              <w:t>Direktivet träder i kraft 20 d</w:t>
            </w:r>
            <w:r>
              <w:t xml:space="preserve">agar efter publicering i </w:t>
            </w:r>
            <w:proofErr w:type="spellStart"/>
            <w:r>
              <w:t>official</w:t>
            </w:r>
            <w:proofErr w:type="spellEnd"/>
            <w:r>
              <w:t xml:space="preserve"> journal.</w:t>
            </w:r>
          </w:p>
        </w:tc>
      </w:tr>
      <w:tr w:rsidR="009F7DC8" w:rsidRPr="00585168" w14:paraId="58B28B93" w14:textId="77777777" w:rsidTr="004B47A0">
        <w:trPr>
          <w:trHeight w:val="561"/>
        </w:trPr>
        <w:tc>
          <w:tcPr>
            <w:tcW w:w="2174" w:type="dxa"/>
          </w:tcPr>
          <w:p w14:paraId="3F83188A" w14:textId="16520BDB" w:rsidR="0045462F" w:rsidRDefault="00AD107D" w:rsidP="0057782B">
            <w:r>
              <w:t>35</w:t>
            </w:r>
          </w:p>
        </w:tc>
        <w:tc>
          <w:tcPr>
            <w:tcW w:w="3216" w:type="dxa"/>
          </w:tcPr>
          <w:p w14:paraId="7BF6A8D2" w14:textId="0CEB373B" w:rsidR="0045462F" w:rsidRDefault="000C1225" w:rsidP="0057782B">
            <w:r>
              <w:t>Ej relevant i svensk lag</w:t>
            </w:r>
          </w:p>
        </w:tc>
        <w:tc>
          <w:tcPr>
            <w:tcW w:w="8604" w:type="dxa"/>
          </w:tcPr>
          <w:p w14:paraId="40B7728E" w14:textId="48336D75" w:rsidR="0045462F" w:rsidRPr="007C4D5F" w:rsidRDefault="007C4D5F" w:rsidP="0057782B">
            <w:r w:rsidRPr="007C4D5F">
              <w:t>Direktivet riktar sig till m</w:t>
            </w:r>
            <w:r>
              <w:t>edlemsstaterna.</w:t>
            </w:r>
          </w:p>
        </w:tc>
      </w:tr>
    </w:tbl>
    <w:p w14:paraId="4E054298" w14:textId="69AC5188" w:rsidR="00AE1B30" w:rsidRDefault="00AE1B30" w:rsidP="00A25254"/>
    <w:sectPr w:rsidR="00AE1B30" w:rsidSect="00281741">
      <w:headerReference w:type="even" r:id="rId16"/>
      <w:headerReference w:type="default" r:id="rId17"/>
      <w:footerReference w:type="even" r:id="rId18"/>
      <w:footerReference w:type="default" r:id="rId19"/>
      <w:headerReference w:type="first" r:id="rId20"/>
      <w:footerReference w:type="first" r:id="rId21"/>
      <w:pgSz w:w="16838" w:h="11906" w:orient="landscape"/>
      <w:pgMar w:top="1702" w:right="1417" w:bottom="141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76F4" w14:textId="77777777" w:rsidR="0055702B" w:rsidRDefault="0055702B" w:rsidP="00581743">
      <w:pPr>
        <w:spacing w:before="0"/>
      </w:pPr>
      <w:r>
        <w:separator/>
      </w:r>
    </w:p>
  </w:endnote>
  <w:endnote w:type="continuationSeparator" w:id="0">
    <w:p w14:paraId="63AA04EB" w14:textId="77777777" w:rsidR="0055702B" w:rsidRDefault="0055702B" w:rsidP="00581743">
      <w:pPr>
        <w:spacing w:before="0"/>
      </w:pPr>
      <w:r>
        <w:continuationSeparator/>
      </w:r>
    </w:p>
  </w:endnote>
  <w:endnote w:id="1">
    <w:p w14:paraId="70286253" w14:textId="0155CA79" w:rsidR="000C7A64" w:rsidRDefault="000C7A64" w:rsidP="00E55535">
      <w:pPr>
        <w:shd w:val="clear" w:color="auto" w:fill="FFFFFF"/>
        <w:spacing w:before="100" w:beforeAutospacing="1" w:after="100" w:afterAutospacing="1"/>
      </w:pPr>
      <w:r>
        <w:rPr>
          <w:rStyle w:val="Slutnotsreferens"/>
        </w:rPr>
        <w:endnoteRef/>
      </w:r>
      <w:r>
        <w:t xml:space="preserve"> Förhandskraven </w:t>
      </w:r>
      <w:r w:rsidR="00A44C6D">
        <w:t xml:space="preserve">på </w:t>
      </w:r>
      <w:r>
        <w:t xml:space="preserve">tillgänglighet </w:t>
      </w:r>
      <w:r w:rsidR="00A44C6D">
        <w:t xml:space="preserve">i strukturfonder </w:t>
      </w:r>
      <w:r>
        <w:t xml:space="preserve">har funnits länge. Inför den nya programperioden har reglerna som rör funktionsrätt och tillgänglighet för personer med funktionsnedsättning skärpts, samtidigt som kopplingen mellan den europeiska </w:t>
      </w:r>
      <w:hyperlink r:id="rId1" w:history="1">
        <w:r w:rsidRPr="00881CB2">
          <w:rPr>
            <w:rStyle w:val="Hyperlnk"/>
          </w:rPr>
          <w:t>tillgänglighetslagen, direktiv 2019/882</w:t>
        </w:r>
      </w:hyperlink>
      <w:r>
        <w:t xml:space="preserve"> (se artikel 24) och strukturfonderna har förtydligats. </w:t>
      </w:r>
      <w:r w:rsidR="00A44C6D">
        <w:t xml:space="preserve">I Sverige är det främst Socialfonden, </w:t>
      </w:r>
      <w:r w:rsidR="00E55535">
        <w:t xml:space="preserve">däremot </w:t>
      </w:r>
      <w:r w:rsidR="00A44C6D">
        <w:t>inte Regionalfonden</w:t>
      </w:r>
      <w:r w:rsidR="00E55535">
        <w:t>,</w:t>
      </w:r>
      <w:r w:rsidR="00A44C6D">
        <w:t xml:space="preserve"> som har tillämpat regelverket</w:t>
      </w:r>
      <w:r w:rsidR="00E55535">
        <w:t xml:space="preserve"> som rör tillgänglighet.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4F3D" w14:textId="77777777" w:rsidR="009D5B64" w:rsidRDefault="009D5B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1A5" w14:textId="77777777" w:rsidR="009D5B64" w:rsidRDefault="009D5B6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82E2" w14:textId="77777777" w:rsidR="009D5B64" w:rsidRDefault="009D5B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BEBA" w14:textId="77777777" w:rsidR="0055702B" w:rsidRDefault="0055702B" w:rsidP="00581743">
      <w:pPr>
        <w:spacing w:before="0"/>
      </w:pPr>
      <w:r>
        <w:separator/>
      </w:r>
    </w:p>
  </w:footnote>
  <w:footnote w:type="continuationSeparator" w:id="0">
    <w:p w14:paraId="24252298" w14:textId="77777777" w:rsidR="0055702B" w:rsidRDefault="0055702B" w:rsidP="005817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6199" w14:textId="22297846" w:rsidR="009D5B64" w:rsidRDefault="00000000">
    <w:pPr>
      <w:pStyle w:val="Sidhuvud"/>
    </w:pPr>
    <w:r>
      <w:rPr>
        <w:noProof/>
      </w:rPr>
      <w:pict w14:anchorId="5D305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234454" o:spid="_x0000_s1026" type="#_x0000_t136" style="position:absolute;margin-left:0;margin-top:0;width:433.55pt;height:185.8pt;rotation:315;z-index:-251655168;mso-position-horizontal:center;mso-position-horizontal-relative:margin;mso-position-vertical:center;mso-position-vertical-relative:margin" o:allowincell="f" fillcolor="silver" stroked="f">
          <v:fill opacity=".5"/>
          <v:textpath style="font-family:&quot;Book Antiqua&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9C55" w14:textId="3B861145" w:rsidR="009D5B64" w:rsidRDefault="00000000">
    <w:pPr>
      <w:pStyle w:val="Sidhuvud"/>
    </w:pPr>
    <w:r>
      <w:rPr>
        <w:noProof/>
      </w:rPr>
      <w:pict w14:anchorId="62679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234455" o:spid="_x0000_s1027" type="#_x0000_t136" style="position:absolute;margin-left:0;margin-top:0;width:433.55pt;height:185.8pt;rotation:315;z-index:-251653120;mso-position-horizontal:center;mso-position-horizontal-relative:margin;mso-position-vertical:center;mso-position-vertical-relative:margin" o:allowincell="f" fillcolor="silver" stroked="f">
          <v:fill opacity=".5"/>
          <v:textpath style="font-family:&quot;Book Antiqua&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7C16" w14:textId="016ABB58" w:rsidR="009D5B64" w:rsidRDefault="00000000">
    <w:pPr>
      <w:pStyle w:val="Sidhuvud"/>
    </w:pPr>
    <w:r>
      <w:rPr>
        <w:noProof/>
      </w:rPr>
      <w:pict w14:anchorId="3D3DA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234453" o:spid="_x0000_s1025" type="#_x0000_t136" style="position:absolute;margin-left:0;margin-top:0;width:433.55pt;height:185.8pt;rotation:315;z-index:-251657216;mso-position-horizontal:center;mso-position-horizontal-relative:margin;mso-position-vertical:center;mso-position-vertical-relative:margin" o:allowincell="f" fillcolor="silver" stroked="f">
          <v:fill opacity=".5"/>
          <v:textpath style="font-family:&quot;Book Antiqua&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5E1A"/>
    <w:multiLevelType w:val="hybridMultilevel"/>
    <w:tmpl w:val="181E82C4"/>
    <w:lvl w:ilvl="0" w:tplc="0D8026E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20460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54"/>
    <w:rsid w:val="0001400A"/>
    <w:rsid w:val="000144CC"/>
    <w:rsid w:val="00015F4B"/>
    <w:rsid w:val="00022A1E"/>
    <w:rsid w:val="00024BCF"/>
    <w:rsid w:val="0003403F"/>
    <w:rsid w:val="00037604"/>
    <w:rsid w:val="00042434"/>
    <w:rsid w:val="000436CB"/>
    <w:rsid w:val="000768A6"/>
    <w:rsid w:val="00076E00"/>
    <w:rsid w:val="00083D14"/>
    <w:rsid w:val="000A1E8F"/>
    <w:rsid w:val="000A6AF7"/>
    <w:rsid w:val="000C1225"/>
    <w:rsid w:val="000C1307"/>
    <w:rsid w:val="000C2080"/>
    <w:rsid w:val="000C4414"/>
    <w:rsid w:val="000C7A64"/>
    <w:rsid w:val="000E5581"/>
    <w:rsid w:val="000F0E49"/>
    <w:rsid w:val="000F5F71"/>
    <w:rsid w:val="00113B60"/>
    <w:rsid w:val="001223DB"/>
    <w:rsid w:val="00150D1B"/>
    <w:rsid w:val="00173A31"/>
    <w:rsid w:val="0018244E"/>
    <w:rsid w:val="00187394"/>
    <w:rsid w:val="001913A3"/>
    <w:rsid w:val="00191CC5"/>
    <w:rsid w:val="00191D4F"/>
    <w:rsid w:val="001A1F99"/>
    <w:rsid w:val="001A2B0E"/>
    <w:rsid w:val="001C0F57"/>
    <w:rsid w:val="001D7076"/>
    <w:rsid w:val="001E3757"/>
    <w:rsid w:val="001F2456"/>
    <w:rsid w:val="001F4A14"/>
    <w:rsid w:val="001F74FE"/>
    <w:rsid w:val="001F76DB"/>
    <w:rsid w:val="00205ED7"/>
    <w:rsid w:val="002136CF"/>
    <w:rsid w:val="00215C38"/>
    <w:rsid w:val="00217DE1"/>
    <w:rsid w:val="0022276E"/>
    <w:rsid w:val="00225142"/>
    <w:rsid w:val="0022526D"/>
    <w:rsid w:val="00241306"/>
    <w:rsid w:val="0024695E"/>
    <w:rsid w:val="00247402"/>
    <w:rsid w:val="00251E8F"/>
    <w:rsid w:val="00253A1A"/>
    <w:rsid w:val="00253DAD"/>
    <w:rsid w:val="00255A56"/>
    <w:rsid w:val="00261F49"/>
    <w:rsid w:val="00271E57"/>
    <w:rsid w:val="00281741"/>
    <w:rsid w:val="00286388"/>
    <w:rsid w:val="00295F5F"/>
    <w:rsid w:val="002A13A0"/>
    <w:rsid w:val="002B199F"/>
    <w:rsid w:val="002C4E9C"/>
    <w:rsid w:val="002D29FF"/>
    <w:rsid w:val="002E640A"/>
    <w:rsid w:val="002F1337"/>
    <w:rsid w:val="00301FBB"/>
    <w:rsid w:val="00325B54"/>
    <w:rsid w:val="003328ED"/>
    <w:rsid w:val="003333F7"/>
    <w:rsid w:val="003335AC"/>
    <w:rsid w:val="00333BB3"/>
    <w:rsid w:val="00380F16"/>
    <w:rsid w:val="0038305E"/>
    <w:rsid w:val="003A1A50"/>
    <w:rsid w:val="003B1DF4"/>
    <w:rsid w:val="003B67D1"/>
    <w:rsid w:val="003C6CF0"/>
    <w:rsid w:val="003C72AA"/>
    <w:rsid w:val="003C7C95"/>
    <w:rsid w:val="003D6C93"/>
    <w:rsid w:val="003E4BF2"/>
    <w:rsid w:val="003F6124"/>
    <w:rsid w:val="003F7606"/>
    <w:rsid w:val="004042BB"/>
    <w:rsid w:val="00407CFA"/>
    <w:rsid w:val="00410B99"/>
    <w:rsid w:val="00410E0B"/>
    <w:rsid w:val="00411F61"/>
    <w:rsid w:val="004142AA"/>
    <w:rsid w:val="00415433"/>
    <w:rsid w:val="00421B71"/>
    <w:rsid w:val="004252DE"/>
    <w:rsid w:val="004300D9"/>
    <w:rsid w:val="0043064E"/>
    <w:rsid w:val="0043138A"/>
    <w:rsid w:val="004458CC"/>
    <w:rsid w:val="0045462F"/>
    <w:rsid w:val="00462C12"/>
    <w:rsid w:val="00483672"/>
    <w:rsid w:val="0048532A"/>
    <w:rsid w:val="00485EBB"/>
    <w:rsid w:val="00486D72"/>
    <w:rsid w:val="004B47A0"/>
    <w:rsid w:val="004B755B"/>
    <w:rsid w:val="004C1CA6"/>
    <w:rsid w:val="004C62C1"/>
    <w:rsid w:val="004C7515"/>
    <w:rsid w:val="004D424E"/>
    <w:rsid w:val="004D5C69"/>
    <w:rsid w:val="004D5E25"/>
    <w:rsid w:val="0050251D"/>
    <w:rsid w:val="005046AB"/>
    <w:rsid w:val="005056D2"/>
    <w:rsid w:val="00522C6B"/>
    <w:rsid w:val="00534418"/>
    <w:rsid w:val="005440D8"/>
    <w:rsid w:val="00552657"/>
    <w:rsid w:val="00553653"/>
    <w:rsid w:val="0055702B"/>
    <w:rsid w:val="00571749"/>
    <w:rsid w:val="00571852"/>
    <w:rsid w:val="00581743"/>
    <w:rsid w:val="005817F0"/>
    <w:rsid w:val="00581FD6"/>
    <w:rsid w:val="00585168"/>
    <w:rsid w:val="00585B82"/>
    <w:rsid w:val="00594098"/>
    <w:rsid w:val="00596911"/>
    <w:rsid w:val="005976BF"/>
    <w:rsid w:val="005C0274"/>
    <w:rsid w:val="005C6BE5"/>
    <w:rsid w:val="005D04FD"/>
    <w:rsid w:val="005D351A"/>
    <w:rsid w:val="005D36C8"/>
    <w:rsid w:val="005D53B4"/>
    <w:rsid w:val="005D571A"/>
    <w:rsid w:val="006015BC"/>
    <w:rsid w:val="00607734"/>
    <w:rsid w:val="006143A6"/>
    <w:rsid w:val="00615D1B"/>
    <w:rsid w:val="00622B1E"/>
    <w:rsid w:val="0062680F"/>
    <w:rsid w:val="00626924"/>
    <w:rsid w:val="00630019"/>
    <w:rsid w:val="00633C9D"/>
    <w:rsid w:val="00664A0F"/>
    <w:rsid w:val="0066516C"/>
    <w:rsid w:val="006738A2"/>
    <w:rsid w:val="006864D8"/>
    <w:rsid w:val="006969B9"/>
    <w:rsid w:val="006A215E"/>
    <w:rsid w:val="006C0384"/>
    <w:rsid w:val="006C0E52"/>
    <w:rsid w:val="006C305B"/>
    <w:rsid w:val="006C4F0B"/>
    <w:rsid w:val="006D2F0A"/>
    <w:rsid w:val="006D31FA"/>
    <w:rsid w:val="006D67F5"/>
    <w:rsid w:val="006D6FBA"/>
    <w:rsid w:val="006E7DC2"/>
    <w:rsid w:val="0070531D"/>
    <w:rsid w:val="00706DBE"/>
    <w:rsid w:val="00725744"/>
    <w:rsid w:val="007257E5"/>
    <w:rsid w:val="00737127"/>
    <w:rsid w:val="00754A43"/>
    <w:rsid w:val="007564D6"/>
    <w:rsid w:val="007575FD"/>
    <w:rsid w:val="00761F11"/>
    <w:rsid w:val="007758A8"/>
    <w:rsid w:val="00783ADF"/>
    <w:rsid w:val="00793F46"/>
    <w:rsid w:val="007A2CD5"/>
    <w:rsid w:val="007C1FFB"/>
    <w:rsid w:val="007C4D5F"/>
    <w:rsid w:val="007C5437"/>
    <w:rsid w:val="007C6A15"/>
    <w:rsid w:val="007D1248"/>
    <w:rsid w:val="007D6AC6"/>
    <w:rsid w:val="007D797E"/>
    <w:rsid w:val="007E126F"/>
    <w:rsid w:val="007F0297"/>
    <w:rsid w:val="00802E1B"/>
    <w:rsid w:val="00806D1C"/>
    <w:rsid w:val="00811122"/>
    <w:rsid w:val="0081112E"/>
    <w:rsid w:val="008131CB"/>
    <w:rsid w:val="00816AFA"/>
    <w:rsid w:val="008174A6"/>
    <w:rsid w:val="00822A29"/>
    <w:rsid w:val="0082374A"/>
    <w:rsid w:val="00823EDF"/>
    <w:rsid w:val="008255CA"/>
    <w:rsid w:val="0082782F"/>
    <w:rsid w:val="008353A6"/>
    <w:rsid w:val="00855859"/>
    <w:rsid w:val="00857A50"/>
    <w:rsid w:val="00862585"/>
    <w:rsid w:val="00863F2B"/>
    <w:rsid w:val="008657C4"/>
    <w:rsid w:val="008721B0"/>
    <w:rsid w:val="008777E6"/>
    <w:rsid w:val="008837E6"/>
    <w:rsid w:val="00884BA4"/>
    <w:rsid w:val="008914BC"/>
    <w:rsid w:val="00894F0D"/>
    <w:rsid w:val="008965B0"/>
    <w:rsid w:val="008A53DB"/>
    <w:rsid w:val="008B064B"/>
    <w:rsid w:val="008B4D40"/>
    <w:rsid w:val="008C0351"/>
    <w:rsid w:val="008C6B34"/>
    <w:rsid w:val="008D2104"/>
    <w:rsid w:val="008E2754"/>
    <w:rsid w:val="008E390E"/>
    <w:rsid w:val="009060D0"/>
    <w:rsid w:val="00907C53"/>
    <w:rsid w:val="00912D5B"/>
    <w:rsid w:val="009143E1"/>
    <w:rsid w:val="00915804"/>
    <w:rsid w:val="00917815"/>
    <w:rsid w:val="00925141"/>
    <w:rsid w:val="009336F2"/>
    <w:rsid w:val="00936698"/>
    <w:rsid w:val="009371E3"/>
    <w:rsid w:val="0095230C"/>
    <w:rsid w:val="00953743"/>
    <w:rsid w:val="00953769"/>
    <w:rsid w:val="00956181"/>
    <w:rsid w:val="00957534"/>
    <w:rsid w:val="00960376"/>
    <w:rsid w:val="0096533F"/>
    <w:rsid w:val="00972C03"/>
    <w:rsid w:val="0098116A"/>
    <w:rsid w:val="00985D65"/>
    <w:rsid w:val="009879CE"/>
    <w:rsid w:val="00991349"/>
    <w:rsid w:val="009A3D56"/>
    <w:rsid w:val="009B3433"/>
    <w:rsid w:val="009D3560"/>
    <w:rsid w:val="009D5B64"/>
    <w:rsid w:val="009D6575"/>
    <w:rsid w:val="009D66F0"/>
    <w:rsid w:val="009E2FC6"/>
    <w:rsid w:val="009E50AC"/>
    <w:rsid w:val="009F14C3"/>
    <w:rsid w:val="009F6D57"/>
    <w:rsid w:val="009F7DC8"/>
    <w:rsid w:val="00A01CD3"/>
    <w:rsid w:val="00A0311A"/>
    <w:rsid w:val="00A175CB"/>
    <w:rsid w:val="00A22FD8"/>
    <w:rsid w:val="00A23E03"/>
    <w:rsid w:val="00A25254"/>
    <w:rsid w:val="00A26E11"/>
    <w:rsid w:val="00A31989"/>
    <w:rsid w:val="00A40BB1"/>
    <w:rsid w:val="00A44C6D"/>
    <w:rsid w:val="00A5265E"/>
    <w:rsid w:val="00A769A7"/>
    <w:rsid w:val="00A774B6"/>
    <w:rsid w:val="00A966D2"/>
    <w:rsid w:val="00AA307A"/>
    <w:rsid w:val="00AA4194"/>
    <w:rsid w:val="00AB4F64"/>
    <w:rsid w:val="00AC0764"/>
    <w:rsid w:val="00AC64C2"/>
    <w:rsid w:val="00AC739D"/>
    <w:rsid w:val="00AD107D"/>
    <w:rsid w:val="00AD6B01"/>
    <w:rsid w:val="00AE1B30"/>
    <w:rsid w:val="00AE2FA5"/>
    <w:rsid w:val="00AF57D9"/>
    <w:rsid w:val="00AF73A9"/>
    <w:rsid w:val="00B012DE"/>
    <w:rsid w:val="00B058C4"/>
    <w:rsid w:val="00B233D3"/>
    <w:rsid w:val="00B300A8"/>
    <w:rsid w:val="00B323C4"/>
    <w:rsid w:val="00B3373E"/>
    <w:rsid w:val="00B407ED"/>
    <w:rsid w:val="00B4509B"/>
    <w:rsid w:val="00BA10F2"/>
    <w:rsid w:val="00BA52F5"/>
    <w:rsid w:val="00BA62C8"/>
    <w:rsid w:val="00BA6698"/>
    <w:rsid w:val="00BC09EC"/>
    <w:rsid w:val="00BC5465"/>
    <w:rsid w:val="00BD46EE"/>
    <w:rsid w:val="00BE317B"/>
    <w:rsid w:val="00C32B51"/>
    <w:rsid w:val="00C376E1"/>
    <w:rsid w:val="00C65FD9"/>
    <w:rsid w:val="00C72D31"/>
    <w:rsid w:val="00C748D8"/>
    <w:rsid w:val="00C8003C"/>
    <w:rsid w:val="00C8433A"/>
    <w:rsid w:val="00C84B3C"/>
    <w:rsid w:val="00C861DD"/>
    <w:rsid w:val="00C93E0B"/>
    <w:rsid w:val="00CA14A0"/>
    <w:rsid w:val="00CB0F85"/>
    <w:rsid w:val="00CB261A"/>
    <w:rsid w:val="00CB6EB0"/>
    <w:rsid w:val="00CC15E6"/>
    <w:rsid w:val="00CF4350"/>
    <w:rsid w:val="00CF4CDE"/>
    <w:rsid w:val="00CF6DE0"/>
    <w:rsid w:val="00CF7BA4"/>
    <w:rsid w:val="00D12126"/>
    <w:rsid w:val="00D1441B"/>
    <w:rsid w:val="00D15757"/>
    <w:rsid w:val="00D30B6E"/>
    <w:rsid w:val="00D33E6C"/>
    <w:rsid w:val="00D377C5"/>
    <w:rsid w:val="00D4370B"/>
    <w:rsid w:val="00D447A9"/>
    <w:rsid w:val="00D46C89"/>
    <w:rsid w:val="00D52DD3"/>
    <w:rsid w:val="00D5516E"/>
    <w:rsid w:val="00D6306A"/>
    <w:rsid w:val="00D91B5A"/>
    <w:rsid w:val="00D94574"/>
    <w:rsid w:val="00DA6318"/>
    <w:rsid w:val="00DB0B58"/>
    <w:rsid w:val="00DD0F9F"/>
    <w:rsid w:val="00DD5368"/>
    <w:rsid w:val="00DE10F6"/>
    <w:rsid w:val="00DE12F2"/>
    <w:rsid w:val="00DE77B8"/>
    <w:rsid w:val="00DE7E97"/>
    <w:rsid w:val="00E022D3"/>
    <w:rsid w:val="00E05756"/>
    <w:rsid w:val="00E143A5"/>
    <w:rsid w:val="00E23804"/>
    <w:rsid w:val="00E268FE"/>
    <w:rsid w:val="00E46FF4"/>
    <w:rsid w:val="00E47349"/>
    <w:rsid w:val="00E55535"/>
    <w:rsid w:val="00E576B4"/>
    <w:rsid w:val="00E60267"/>
    <w:rsid w:val="00E71334"/>
    <w:rsid w:val="00E75E14"/>
    <w:rsid w:val="00E76D55"/>
    <w:rsid w:val="00E91FD3"/>
    <w:rsid w:val="00E92129"/>
    <w:rsid w:val="00EA04E2"/>
    <w:rsid w:val="00EA070B"/>
    <w:rsid w:val="00EA164A"/>
    <w:rsid w:val="00EA37BE"/>
    <w:rsid w:val="00EA7FB3"/>
    <w:rsid w:val="00EB4B4D"/>
    <w:rsid w:val="00EB6FA2"/>
    <w:rsid w:val="00EC5A85"/>
    <w:rsid w:val="00ED25EE"/>
    <w:rsid w:val="00ED3B66"/>
    <w:rsid w:val="00EE4E75"/>
    <w:rsid w:val="00EF57CA"/>
    <w:rsid w:val="00EF59D0"/>
    <w:rsid w:val="00F0607E"/>
    <w:rsid w:val="00F34936"/>
    <w:rsid w:val="00F47B0D"/>
    <w:rsid w:val="00F60E90"/>
    <w:rsid w:val="00F6750B"/>
    <w:rsid w:val="00F769AE"/>
    <w:rsid w:val="00F801B8"/>
    <w:rsid w:val="00F81274"/>
    <w:rsid w:val="00F873F4"/>
    <w:rsid w:val="00F91AFF"/>
    <w:rsid w:val="00FA0C1E"/>
    <w:rsid w:val="00FC47F4"/>
    <w:rsid w:val="00FC7D43"/>
    <w:rsid w:val="00FD754A"/>
    <w:rsid w:val="00FE5CE3"/>
    <w:rsid w:val="00FF2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704E9"/>
  <w15:chartTrackingRefBased/>
  <w15:docId w15:val="{BE5F3853-391C-49F8-BAE5-847861F7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B8"/>
    <w:pPr>
      <w:spacing w:before="200" w:after="0" w:line="240" w:lineRule="auto"/>
    </w:pPr>
    <w:rPr>
      <w:rFonts w:ascii="Book Antiqua" w:hAnsi="Book Antiqua" w:cs="Arial"/>
      <w:sz w:val="24"/>
      <w:szCs w:val="24"/>
      <w:lang w:eastAsia="sv-SE"/>
    </w:rPr>
  </w:style>
  <w:style w:type="paragraph" w:styleId="Rubrik1">
    <w:name w:val="heading 1"/>
    <w:basedOn w:val="Normal"/>
    <w:next w:val="Normal"/>
    <w:link w:val="Rubrik1Char"/>
    <w:autoRedefine/>
    <w:uiPriority w:val="9"/>
    <w:qFormat/>
    <w:rsid w:val="00A769A7"/>
    <w:pPr>
      <w:keepNext/>
      <w:keepLines/>
      <w:spacing w:before="240"/>
      <w:outlineLvl w:val="0"/>
    </w:pPr>
    <w:rPr>
      <w:rFonts w:ascii="Arial" w:eastAsiaTheme="majorEastAsia" w:hAnsi="Arial" w:cs="Times New Roman"/>
      <w:b/>
      <w:sz w:val="32"/>
    </w:rPr>
  </w:style>
  <w:style w:type="paragraph" w:styleId="Rubrik2">
    <w:name w:val="heading 2"/>
    <w:basedOn w:val="Normal"/>
    <w:next w:val="Normal"/>
    <w:link w:val="Rubrik2Char"/>
    <w:autoRedefine/>
    <w:uiPriority w:val="9"/>
    <w:unhideWhenUsed/>
    <w:qFormat/>
    <w:rsid w:val="000E5581"/>
    <w:pPr>
      <w:keepNext/>
      <w:keepLines/>
      <w:spacing w:before="40"/>
      <w:outlineLvl w:val="1"/>
    </w:pPr>
    <w:rPr>
      <w:rFonts w:ascii="Arial" w:eastAsiaTheme="majorEastAsia" w:hAnsi="Arial" w:cstheme="majorBidi"/>
      <w:b/>
      <w:sz w:val="28"/>
      <w:szCs w:val="26"/>
    </w:rPr>
  </w:style>
  <w:style w:type="paragraph" w:styleId="Rubrik3">
    <w:name w:val="heading 3"/>
    <w:basedOn w:val="Normal"/>
    <w:next w:val="Normal"/>
    <w:link w:val="Rubrik3Char"/>
    <w:autoRedefine/>
    <w:uiPriority w:val="9"/>
    <w:unhideWhenUsed/>
    <w:qFormat/>
    <w:rsid w:val="002E640A"/>
    <w:pPr>
      <w:keepNext/>
      <w:keepLines/>
      <w:spacing w:before="40" w:line="276" w:lineRule="auto"/>
      <w:outlineLvl w:val="2"/>
    </w:pPr>
    <w:rPr>
      <w:rFonts w:ascii="Arial" w:eastAsia="Times New Roman" w:hAnsi="Arial" w:cstheme="majorBidi"/>
      <w:b/>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69A7"/>
    <w:rPr>
      <w:rFonts w:ascii="Arial" w:eastAsiaTheme="majorEastAsia" w:hAnsi="Arial" w:cs="Times New Roman"/>
      <w:b/>
      <w:sz w:val="32"/>
      <w:szCs w:val="24"/>
    </w:rPr>
  </w:style>
  <w:style w:type="character" w:customStyle="1" w:styleId="Rubrik2Char">
    <w:name w:val="Rubrik 2 Char"/>
    <w:basedOn w:val="Standardstycketeckensnitt"/>
    <w:link w:val="Rubrik2"/>
    <w:uiPriority w:val="9"/>
    <w:rsid w:val="000E5581"/>
    <w:rPr>
      <w:rFonts w:ascii="Arial" w:eastAsiaTheme="majorEastAsia" w:hAnsi="Arial" w:cstheme="majorBidi"/>
      <w:b/>
      <w:sz w:val="28"/>
      <w:szCs w:val="26"/>
    </w:rPr>
  </w:style>
  <w:style w:type="paragraph" w:styleId="Rubrik">
    <w:name w:val="Title"/>
    <w:aliases w:val="Rubrik mellan"/>
    <w:basedOn w:val="Normal"/>
    <w:next w:val="Normal"/>
    <w:link w:val="RubrikChar"/>
    <w:autoRedefine/>
    <w:uiPriority w:val="10"/>
    <w:qFormat/>
    <w:rsid w:val="00EA37BE"/>
    <w:pPr>
      <w:contextualSpacing/>
    </w:pPr>
    <w:rPr>
      <w:rFonts w:ascii="Arial" w:eastAsiaTheme="majorEastAsia" w:hAnsi="Arial" w:cstheme="majorBidi"/>
      <w:b/>
      <w:spacing w:val="-10"/>
      <w:kern w:val="28"/>
      <w:szCs w:val="56"/>
    </w:rPr>
  </w:style>
  <w:style w:type="character" w:customStyle="1" w:styleId="RubrikChar">
    <w:name w:val="Rubrik Char"/>
    <w:aliases w:val="Rubrik mellan Char"/>
    <w:basedOn w:val="Standardstycketeckensnitt"/>
    <w:link w:val="Rubrik"/>
    <w:uiPriority w:val="10"/>
    <w:rsid w:val="00EA37BE"/>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9"/>
    <w:rsid w:val="002E640A"/>
    <w:rPr>
      <w:rFonts w:ascii="Arial" w:eastAsia="Times New Roman" w:hAnsi="Arial" w:cstheme="majorBidi"/>
      <w:b/>
      <w:sz w:val="24"/>
      <w:szCs w:val="32"/>
      <w:lang w:eastAsia="sv-SE"/>
    </w:rPr>
  </w:style>
  <w:style w:type="character" w:styleId="Hyperlnk">
    <w:name w:val="Hyperlink"/>
    <w:basedOn w:val="Standardstycketeckensnitt"/>
    <w:uiPriority w:val="99"/>
    <w:unhideWhenUsed/>
    <w:rsid w:val="00A25254"/>
    <w:rPr>
      <w:color w:val="0563C1" w:themeColor="hyperlink"/>
      <w:u w:val="single"/>
    </w:rPr>
  </w:style>
  <w:style w:type="character" w:styleId="Olstomnmnande">
    <w:name w:val="Unresolved Mention"/>
    <w:basedOn w:val="Standardstycketeckensnitt"/>
    <w:uiPriority w:val="99"/>
    <w:semiHidden/>
    <w:unhideWhenUsed/>
    <w:rsid w:val="00A25254"/>
    <w:rPr>
      <w:color w:val="605E5C"/>
      <w:shd w:val="clear" w:color="auto" w:fill="E1DFDD"/>
    </w:rPr>
  </w:style>
  <w:style w:type="table" w:styleId="Tabellrutnt">
    <w:name w:val="Table Grid"/>
    <w:basedOn w:val="Normaltabell"/>
    <w:uiPriority w:val="39"/>
    <w:rsid w:val="00A2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81743"/>
    <w:pPr>
      <w:tabs>
        <w:tab w:val="center" w:pos="4536"/>
        <w:tab w:val="right" w:pos="9072"/>
      </w:tabs>
      <w:spacing w:before="0"/>
    </w:pPr>
  </w:style>
  <w:style w:type="character" w:customStyle="1" w:styleId="SidhuvudChar">
    <w:name w:val="Sidhuvud Char"/>
    <w:basedOn w:val="Standardstycketeckensnitt"/>
    <w:link w:val="Sidhuvud"/>
    <w:uiPriority w:val="99"/>
    <w:rsid w:val="00581743"/>
    <w:rPr>
      <w:rFonts w:ascii="Book Antiqua" w:hAnsi="Book Antiqua" w:cs="Arial"/>
      <w:sz w:val="24"/>
      <w:szCs w:val="24"/>
      <w:lang w:eastAsia="sv-SE"/>
    </w:rPr>
  </w:style>
  <w:style w:type="paragraph" w:styleId="Sidfot">
    <w:name w:val="footer"/>
    <w:basedOn w:val="Normal"/>
    <w:link w:val="SidfotChar"/>
    <w:uiPriority w:val="99"/>
    <w:unhideWhenUsed/>
    <w:rsid w:val="00581743"/>
    <w:pPr>
      <w:tabs>
        <w:tab w:val="center" w:pos="4536"/>
        <w:tab w:val="right" w:pos="9072"/>
      </w:tabs>
      <w:spacing w:before="0"/>
    </w:pPr>
  </w:style>
  <w:style w:type="character" w:customStyle="1" w:styleId="SidfotChar">
    <w:name w:val="Sidfot Char"/>
    <w:basedOn w:val="Standardstycketeckensnitt"/>
    <w:link w:val="Sidfot"/>
    <w:uiPriority w:val="99"/>
    <w:rsid w:val="00581743"/>
    <w:rPr>
      <w:rFonts w:ascii="Book Antiqua" w:hAnsi="Book Antiqua" w:cs="Arial"/>
      <w:sz w:val="24"/>
      <w:szCs w:val="24"/>
      <w:lang w:eastAsia="sv-SE"/>
    </w:rPr>
  </w:style>
  <w:style w:type="paragraph" w:customStyle="1" w:styleId="sti-art">
    <w:name w:val="sti-art"/>
    <w:basedOn w:val="Normal"/>
    <w:rsid w:val="005D53B4"/>
    <w:pPr>
      <w:spacing w:before="100" w:beforeAutospacing="1" w:after="100" w:afterAutospacing="1"/>
    </w:pPr>
    <w:rPr>
      <w:rFonts w:ascii="Times New Roman" w:eastAsia="Times New Roman" w:hAnsi="Times New Roman" w:cs="Times New Roman"/>
    </w:rPr>
  </w:style>
  <w:style w:type="paragraph" w:customStyle="1" w:styleId="Normal1">
    <w:name w:val="Normal1"/>
    <w:basedOn w:val="Normal"/>
    <w:rsid w:val="005D53B4"/>
    <w:pPr>
      <w:spacing w:before="100" w:beforeAutospacing="1" w:after="100" w:afterAutospacing="1"/>
    </w:pPr>
    <w:rPr>
      <w:rFonts w:ascii="Times New Roman" w:eastAsia="Times New Roman" w:hAnsi="Times New Roman" w:cs="Times New Roman"/>
    </w:rPr>
  </w:style>
  <w:style w:type="character" w:customStyle="1" w:styleId="italic">
    <w:name w:val="italic"/>
    <w:basedOn w:val="Standardstycketeckensnitt"/>
    <w:rsid w:val="00E022D3"/>
  </w:style>
  <w:style w:type="paragraph" w:styleId="Liststycke">
    <w:name w:val="List Paragraph"/>
    <w:basedOn w:val="Normal"/>
    <w:uiPriority w:val="34"/>
    <w:qFormat/>
    <w:rsid w:val="00C748D8"/>
    <w:pPr>
      <w:spacing w:before="0"/>
      <w:ind w:left="720"/>
    </w:pPr>
    <w:rPr>
      <w:rFonts w:ascii="Calibri" w:eastAsiaTheme="minorHAnsi" w:hAnsi="Calibri" w:cs="Calibri"/>
      <w:sz w:val="22"/>
      <w:szCs w:val="22"/>
    </w:rPr>
  </w:style>
  <w:style w:type="paragraph" w:styleId="Fotnotstext">
    <w:name w:val="footnote text"/>
    <w:basedOn w:val="Normal"/>
    <w:link w:val="FotnotstextChar"/>
    <w:uiPriority w:val="99"/>
    <w:semiHidden/>
    <w:unhideWhenUsed/>
    <w:rsid w:val="004D5C69"/>
    <w:pPr>
      <w:spacing w:before="0"/>
    </w:pPr>
    <w:rPr>
      <w:sz w:val="20"/>
      <w:szCs w:val="20"/>
    </w:rPr>
  </w:style>
  <w:style w:type="character" w:customStyle="1" w:styleId="FotnotstextChar">
    <w:name w:val="Fotnotstext Char"/>
    <w:basedOn w:val="Standardstycketeckensnitt"/>
    <w:link w:val="Fotnotstext"/>
    <w:uiPriority w:val="99"/>
    <w:semiHidden/>
    <w:rsid w:val="004D5C69"/>
    <w:rPr>
      <w:rFonts w:ascii="Book Antiqua" w:hAnsi="Book Antiqua" w:cs="Arial"/>
      <w:sz w:val="20"/>
      <w:szCs w:val="20"/>
      <w:lang w:eastAsia="sv-SE"/>
    </w:rPr>
  </w:style>
  <w:style w:type="character" w:styleId="Fotnotsreferens">
    <w:name w:val="footnote reference"/>
    <w:basedOn w:val="Standardstycketeckensnitt"/>
    <w:uiPriority w:val="99"/>
    <w:semiHidden/>
    <w:unhideWhenUsed/>
    <w:rsid w:val="004D5C69"/>
    <w:rPr>
      <w:vertAlign w:val="superscript"/>
    </w:rPr>
  </w:style>
  <w:style w:type="paragraph" w:styleId="Slutnotstext">
    <w:name w:val="endnote text"/>
    <w:basedOn w:val="Normal"/>
    <w:link w:val="SlutnotstextChar"/>
    <w:uiPriority w:val="99"/>
    <w:semiHidden/>
    <w:unhideWhenUsed/>
    <w:rsid w:val="000C7A64"/>
    <w:pPr>
      <w:spacing w:before="0"/>
    </w:pPr>
    <w:rPr>
      <w:sz w:val="20"/>
      <w:szCs w:val="20"/>
    </w:rPr>
  </w:style>
  <w:style w:type="character" w:customStyle="1" w:styleId="SlutnotstextChar">
    <w:name w:val="Slutnotstext Char"/>
    <w:basedOn w:val="Standardstycketeckensnitt"/>
    <w:link w:val="Slutnotstext"/>
    <w:uiPriority w:val="99"/>
    <w:semiHidden/>
    <w:rsid w:val="000C7A64"/>
    <w:rPr>
      <w:rFonts w:ascii="Book Antiqua" w:hAnsi="Book Antiqua" w:cs="Arial"/>
      <w:sz w:val="20"/>
      <w:szCs w:val="20"/>
      <w:lang w:eastAsia="sv-SE"/>
    </w:rPr>
  </w:style>
  <w:style w:type="character" w:styleId="Slutnotsreferens">
    <w:name w:val="endnote reference"/>
    <w:basedOn w:val="Standardstycketeckensnitt"/>
    <w:uiPriority w:val="99"/>
    <w:semiHidden/>
    <w:unhideWhenUsed/>
    <w:rsid w:val="000C7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539">
      <w:bodyDiv w:val="1"/>
      <w:marLeft w:val="0"/>
      <w:marRight w:val="0"/>
      <w:marTop w:val="0"/>
      <w:marBottom w:val="0"/>
      <w:divBdr>
        <w:top w:val="none" w:sz="0" w:space="0" w:color="auto"/>
        <w:left w:val="none" w:sz="0" w:space="0" w:color="auto"/>
        <w:bottom w:val="none" w:sz="0" w:space="0" w:color="auto"/>
        <w:right w:val="none" w:sz="0" w:space="0" w:color="auto"/>
      </w:divBdr>
    </w:div>
    <w:div w:id="570845882">
      <w:bodyDiv w:val="1"/>
      <w:marLeft w:val="0"/>
      <w:marRight w:val="0"/>
      <w:marTop w:val="0"/>
      <w:marBottom w:val="0"/>
      <w:divBdr>
        <w:top w:val="none" w:sz="0" w:space="0" w:color="auto"/>
        <w:left w:val="none" w:sz="0" w:space="0" w:color="auto"/>
        <w:bottom w:val="none" w:sz="0" w:space="0" w:color="auto"/>
        <w:right w:val="none" w:sz="0" w:space="0" w:color="auto"/>
      </w:divBdr>
    </w:div>
    <w:div w:id="1248345930">
      <w:bodyDiv w:val="1"/>
      <w:marLeft w:val="0"/>
      <w:marRight w:val="0"/>
      <w:marTop w:val="0"/>
      <w:marBottom w:val="0"/>
      <w:divBdr>
        <w:top w:val="none" w:sz="0" w:space="0" w:color="auto"/>
        <w:left w:val="none" w:sz="0" w:space="0" w:color="auto"/>
        <w:bottom w:val="none" w:sz="0" w:space="0" w:color="auto"/>
        <w:right w:val="none" w:sz="0" w:space="0" w:color="auto"/>
      </w:divBdr>
    </w:div>
    <w:div w:id="15076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ringen.se/4a114e/globalassets/regeringen/dokument/socialdepartementet/funktionshinder/tillganglighetsdirektivet.pdf" TargetMode="External"/><Relationship Id="rId13" Type="http://schemas.openxmlformats.org/officeDocument/2006/relationships/hyperlink" Target="https://www.europarl.europa.eu/legislative-train/theme-a-europe-fit-for-the-digital-age/file-regulation-on-artificial-intellige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A52021PC028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uriserv:OJ.L_.2021.172.01.0001.01.ENG" TargetMode="External"/><Relationship Id="rId5" Type="http://schemas.openxmlformats.org/officeDocument/2006/relationships/webSettings" Target="webSettings.xml"/><Relationship Id="rId15" Type="http://schemas.openxmlformats.org/officeDocument/2006/relationships/hyperlink" Target="https://commission.europa.eu/strategy-and-policy/policies/justice-and-fundamental-rights/combatting-discrimination-0/tackling-discrimination/equality-bodies_en" TargetMode="External"/><Relationship Id="rId23" Type="http://schemas.openxmlformats.org/officeDocument/2006/relationships/theme" Target="theme/theme1.xml"/><Relationship Id="rId10" Type="http://schemas.openxmlformats.org/officeDocument/2006/relationships/hyperlink" Target="https://eur-lex.europa.eu/legal-content/en/TXT/?uri=CELEX%3A52021PC055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tsinformation.dk/eli/lta/2022/801" TargetMode="External"/><Relationship Id="rId14" Type="http://schemas.openxmlformats.org/officeDocument/2006/relationships/hyperlink" Target="https://www.europarl.europa.eu/RegData/docs_autres_institutions/commission_europeenne/com/2021/0812/COM_COM(2021)0812_EN.pdf"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TXT/?uri=CELEX%3A32019L088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BB33-EE5A-43FF-B69A-3337D18E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2251</Words>
  <Characters>13282</Characters>
  <Application>Microsoft Office Word</Application>
  <DocSecurity>0</DocSecurity>
  <Lines>316</Lines>
  <Paragraphs>153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Tor Gustafsson</cp:lastModifiedBy>
  <cp:revision>2</cp:revision>
  <dcterms:created xsi:type="dcterms:W3CDTF">2023-02-01T09:27:00Z</dcterms:created>
  <dcterms:modified xsi:type="dcterms:W3CDTF">2023-02-01T09:27:00Z</dcterms:modified>
</cp:coreProperties>
</file>