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A363" w14:textId="412B3078" w:rsidR="00416C25" w:rsidRDefault="000D07EF" w:rsidP="000A2BB1">
      <w:r>
        <w:tab/>
        <w:t>Sundbyberg 20</w:t>
      </w:r>
      <w:r w:rsidR="00FE2963">
        <w:t>23-03-07</w:t>
      </w:r>
    </w:p>
    <w:p w14:paraId="780CC8C1" w14:textId="77777777" w:rsidR="00416C25" w:rsidRDefault="00416C25" w:rsidP="000A2BB1"/>
    <w:p w14:paraId="1D7E925F" w14:textId="77777777" w:rsidR="000A2BB1" w:rsidRDefault="000A2BB1" w:rsidP="000A2BB1"/>
    <w:p w14:paraId="7C01EC2E" w14:textId="77777777" w:rsidR="000A2BB1" w:rsidRDefault="000A2BB1" w:rsidP="000A2BB1"/>
    <w:p w14:paraId="70CEADCC" w14:textId="77777777" w:rsidR="000A2BB1" w:rsidRDefault="000A2BB1" w:rsidP="000A2BB1">
      <w:r>
        <w:t xml:space="preserve">Mottagare: </w:t>
      </w:r>
    </w:p>
    <w:p w14:paraId="43EE6C83" w14:textId="74E43579" w:rsidR="000A2BB1" w:rsidRDefault="00FE2963" w:rsidP="000A2BB1">
      <w:r w:rsidRPr="00FE2963">
        <w:t>Försäkringskassans funktionshinderråd</w:t>
      </w:r>
    </w:p>
    <w:p w14:paraId="2E12C865" w14:textId="77777777" w:rsidR="00C11666" w:rsidRDefault="00C11666" w:rsidP="000A2BB1"/>
    <w:p w14:paraId="59D67838" w14:textId="3430744C" w:rsidR="00C11666" w:rsidRDefault="0073344D" w:rsidP="000A2BB1">
      <w:r>
        <w:t>Avsändare:</w:t>
      </w:r>
      <w:r w:rsidR="00C11666">
        <w:t xml:space="preserve"> </w:t>
      </w:r>
      <w:r>
        <w:br/>
      </w:r>
      <w:r w:rsidR="00C11666">
        <w:t>Funktionsrätt</w:t>
      </w:r>
      <w:r>
        <w:t>srörelsens</w:t>
      </w:r>
      <w:r w:rsidR="00C11666">
        <w:t xml:space="preserve"> ledamöter i Försäkringskassans funktionhindersråd</w:t>
      </w:r>
    </w:p>
    <w:p w14:paraId="2CC5ABBE" w14:textId="77777777" w:rsidR="000A2BB1" w:rsidRDefault="000A2BB1" w:rsidP="000A2BB1"/>
    <w:p w14:paraId="365A5CCF" w14:textId="77777777" w:rsidR="000A2BB1" w:rsidRDefault="000A2BB1" w:rsidP="000A2BB1"/>
    <w:p w14:paraId="43A7414C" w14:textId="753FA90A" w:rsidR="000E5C74" w:rsidRDefault="00920B4A" w:rsidP="003C37F3">
      <w:pPr>
        <w:pStyle w:val="Rubrik1"/>
      </w:pPr>
      <w:r>
        <w:t>Faktorer som påverkar rätten till sjukförsäkring</w:t>
      </w:r>
      <w:r w:rsidR="007D5F67">
        <w:t xml:space="preserve"> </w:t>
      </w:r>
    </w:p>
    <w:p w14:paraId="0280E11F" w14:textId="77777777" w:rsidR="003C37F3" w:rsidRPr="003C37F3" w:rsidRDefault="003C37F3" w:rsidP="003C37F3"/>
    <w:p w14:paraId="254913F1" w14:textId="77777777" w:rsidR="000A2BB1" w:rsidRDefault="000A2BB1" w:rsidP="000A2BB1">
      <w:pPr>
        <w:pStyle w:val="Rubrik2"/>
        <w:rPr>
          <w:rFonts w:eastAsia="Calibri"/>
        </w:rPr>
      </w:pPr>
      <w:r>
        <w:rPr>
          <w:rFonts w:eastAsia="Calibri"/>
        </w:rPr>
        <w:t>Funktionsrätt Sverige</w:t>
      </w:r>
    </w:p>
    <w:p w14:paraId="7F8EC86F" w14:textId="3EDDB96F" w:rsidR="004C2104" w:rsidRDefault="004C2104" w:rsidP="004C2104">
      <w:pPr>
        <w:rPr>
          <w:lang w:eastAsia="sv-SE"/>
        </w:rPr>
      </w:pPr>
      <w:r w:rsidRPr="001B743F">
        <w:rPr>
          <w:lang w:eastAsia="sv-SE"/>
        </w:rPr>
        <w:t xml:space="preserve">Funktionsrätt Sverige är en samarbetsorganisation för </w:t>
      </w:r>
      <w:r w:rsidR="00C65C9C">
        <w:rPr>
          <w:lang w:eastAsia="sv-SE"/>
        </w:rPr>
        <w:t>50</w:t>
      </w:r>
      <w:r w:rsidRPr="001B743F">
        <w:rPr>
          <w:lang w:eastAsia="sv-SE"/>
        </w:rPr>
        <w:t xml:space="preserve"> </w:t>
      </w:r>
      <w:r>
        <w:rPr>
          <w:lang w:eastAsia="sv-SE"/>
        </w:rPr>
        <w:t>f</w:t>
      </w:r>
      <w:r w:rsidRPr="001B743F">
        <w:rPr>
          <w:lang w:eastAsia="sv-SE"/>
        </w:rPr>
        <w:t>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663AE493" w14:textId="77777777" w:rsidR="003C37F3" w:rsidRPr="003C37F3" w:rsidRDefault="003C37F3" w:rsidP="003C37F3"/>
    <w:p w14:paraId="73650C8C" w14:textId="38610D1E" w:rsidR="00FE2963" w:rsidRPr="00FE2963" w:rsidRDefault="00920B4A" w:rsidP="00920B4A">
      <w:pPr>
        <w:pStyle w:val="Rubrik2"/>
      </w:pPr>
      <w:bookmarkStart w:id="0" w:name="_Hlk129022138"/>
      <w:bookmarkStart w:id="1" w:name="_Hlk129022166"/>
      <w:r>
        <w:t xml:space="preserve">Bakgrund </w:t>
      </w:r>
      <w:bookmarkEnd w:id="0"/>
      <w:bookmarkEnd w:id="1"/>
    </w:p>
    <w:p w14:paraId="069F4814" w14:textId="41EA52B0" w:rsidR="00FE2963" w:rsidRDefault="00FE2963" w:rsidP="00FE2963">
      <w:r w:rsidRPr="00FE2963">
        <w:t xml:space="preserve">En fråga som dyker upp regelbundet i Funktionsrätts Sveriges medlemsförbund är rädslan att engagera sig ideellt i en förening, ta ett politiskt uppdrag eller engagera sig i civilsamhället överhuvudtaget. </w:t>
      </w:r>
      <w:r>
        <w:t>M</w:t>
      </w:r>
      <w:r w:rsidRPr="00FE2963">
        <w:t xml:space="preserve">änniskor både tackar nej till uppdrag av rädsla för indragen ersättning samt blir av med sin ersättning på grund av ideellt uppdrag. </w:t>
      </w:r>
      <w:r w:rsidR="00E61B2A">
        <w:t>Från</w:t>
      </w:r>
      <w:r w:rsidRPr="00FE2963">
        <w:t xml:space="preserve"> våra förbund</w:t>
      </w:r>
      <w:r w:rsidR="00E61B2A">
        <w:t xml:space="preserve"> får vi också höra om att medlemmar</w:t>
      </w:r>
      <w:r w:rsidRPr="00FE2963">
        <w:t xml:space="preserve"> till exempel inte vågar lägga ut på </w:t>
      </w:r>
      <w:proofErr w:type="spellStart"/>
      <w:r w:rsidRPr="00FE2963">
        <w:t>facebook</w:t>
      </w:r>
      <w:proofErr w:type="spellEnd"/>
      <w:r w:rsidRPr="00FE2963">
        <w:t xml:space="preserve"> vad de medverkar i för aktiviteter. Många känner sig kontrollerade även på sin fritid, vilket hämmar dem att vara aktiva.</w:t>
      </w:r>
      <w:r w:rsidR="00A4718C" w:rsidRPr="00A4718C">
        <w:t xml:space="preserve"> Oron </w:t>
      </w:r>
      <w:r w:rsidR="00616931">
        <w:t>lyfts också till exempel i</w:t>
      </w:r>
      <w:r w:rsidR="00A4718C" w:rsidRPr="00A4718C">
        <w:t xml:space="preserve"> </w:t>
      </w:r>
      <w:proofErr w:type="spellStart"/>
      <w:r w:rsidR="00A4718C" w:rsidRPr="00A4718C">
        <w:t>MFD:s</w:t>
      </w:r>
      <w:proofErr w:type="spellEnd"/>
      <w:r w:rsidR="00A4718C" w:rsidRPr="00A4718C">
        <w:t xml:space="preserve"> rapport ”Demokratisk delaktighet för personer med psykiska funktionsnedsättningar”</w:t>
      </w:r>
      <w:r w:rsidR="002F0FC5">
        <w:rPr>
          <w:rStyle w:val="Fotnotsreferens"/>
        </w:rPr>
        <w:footnoteReference w:id="1"/>
      </w:r>
      <w:r w:rsidR="00A4718C" w:rsidRPr="00A4718C">
        <w:t xml:space="preserve"> </w:t>
      </w:r>
      <w:r w:rsidR="00616931">
        <w:t xml:space="preserve">samt i </w:t>
      </w:r>
      <w:r w:rsidR="00616931" w:rsidRPr="00616931">
        <w:t>SOU 2021:69</w:t>
      </w:r>
      <w:r w:rsidR="00616931">
        <w:rPr>
          <w:rStyle w:val="Fotnotsreferens"/>
        </w:rPr>
        <w:footnoteReference w:id="2"/>
      </w:r>
      <w:r w:rsidR="00616931">
        <w:t>.</w:t>
      </w:r>
    </w:p>
    <w:p w14:paraId="19A24062" w14:textId="77777777" w:rsidR="00F11FA3" w:rsidRDefault="00F11FA3" w:rsidP="00FE2963"/>
    <w:p w14:paraId="2E9CC766" w14:textId="47A93DD0" w:rsidR="00E502CE" w:rsidRDefault="00F11FA3" w:rsidP="00F11FA3">
      <w:r>
        <w:lastRenderedPageBreak/>
        <w:t xml:space="preserve">Den som har sjukersättning 100 procent har </w:t>
      </w:r>
      <w:r w:rsidR="00E502CE">
        <w:t xml:space="preserve">i och med </w:t>
      </w:r>
      <w:r>
        <w:t>åttondelen</w:t>
      </w:r>
      <w:r w:rsidR="00A17668">
        <w:rPr>
          <w:rStyle w:val="Fotnotsreferens"/>
        </w:rPr>
        <w:footnoteReference w:id="3"/>
      </w:r>
      <w:r w:rsidR="00E502CE">
        <w:t xml:space="preserve"> en något tydligare situatio</w:t>
      </w:r>
      <w:r w:rsidR="00BD224C">
        <w:t>n, d</w:t>
      </w:r>
      <w:r w:rsidR="00A17668">
        <w:t xml:space="preserve">e </w:t>
      </w:r>
      <w:r w:rsidR="00BD224C" w:rsidRPr="00BD224C">
        <w:t xml:space="preserve">har ett visst utrymme för att ägna sig åt sysslor som kan jämställas med arbete utan att rätten till sjukersättning påverkas. </w:t>
      </w:r>
      <w:r>
        <w:t>Men för den som har sjukersättning i nivåerna 25, 50 eller 75 procent upplever att det är svårare att sätta sig in i vad som gäller.</w:t>
      </w:r>
    </w:p>
    <w:p w14:paraId="7CA4B471" w14:textId="77777777" w:rsidR="0002481F" w:rsidRDefault="0002481F" w:rsidP="00F11FA3"/>
    <w:p w14:paraId="34E82961" w14:textId="45A863D2" w:rsidR="00BD286E" w:rsidRDefault="0002481F" w:rsidP="00F11FA3">
      <w:r>
        <w:t>Av För</w:t>
      </w:r>
      <w:r w:rsidR="00BD286E">
        <w:t>sä</w:t>
      </w:r>
      <w:r>
        <w:t>kringskassans vägledning</w:t>
      </w:r>
      <w:r w:rsidR="00C11666">
        <w:t xml:space="preserve"> Sjukersättning</w:t>
      </w:r>
      <w:r>
        <w:t xml:space="preserve"> </w:t>
      </w:r>
      <w:r w:rsidR="00354669" w:rsidRPr="00354669">
        <w:t>2013:1 VERSION 10</w:t>
      </w:r>
      <w:r w:rsidR="00AF67AB">
        <w:rPr>
          <w:rStyle w:val="Fotnotsreferens"/>
        </w:rPr>
        <w:footnoteReference w:id="4"/>
      </w:r>
      <w:r w:rsidR="00354669" w:rsidRPr="00354669">
        <w:t xml:space="preserve"> </w:t>
      </w:r>
      <w:r w:rsidR="00E21561">
        <w:t>framgår</w:t>
      </w:r>
      <w:r w:rsidR="00BD286E">
        <w:t>:</w:t>
      </w:r>
    </w:p>
    <w:p w14:paraId="0A8A2CBA" w14:textId="77777777" w:rsidR="00BD286E" w:rsidRDefault="00BD286E" w:rsidP="00F11FA3"/>
    <w:p w14:paraId="56A06F3E" w14:textId="49883C9D" w:rsidR="00E21561" w:rsidRDefault="0002481F" w:rsidP="00F11FA3">
      <w:r w:rsidRPr="0002481F">
        <w:t xml:space="preserve">”Att delta i föreningsliv eller kursverksamhet </w:t>
      </w:r>
      <w:proofErr w:type="gramStart"/>
      <w:r w:rsidRPr="0002481F">
        <w:t>m.m.</w:t>
      </w:r>
      <w:proofErr w:type="gramEnd"/>
      <w:r w:rsidRPr="0002481F">
        <w:t xml:space="preserve"> på motsvarande sätt som en yrkesverksam person vanligen gör på sin fritid påverkar inte rätten till sjuk ersättning”</w:t>
      </w:r>
      <w:r w:rsidR="00E21561">
        <w:t>.</w:t>
      </w:r>
      <w:r w:rsidRPr="0002481F">
        <w:t xml:space="preserve"> </w:t>
      </w:r>
    </w:p>
    <w:p w14:paraId="05D794E3" w14:textId="77777777" w:rsidR="00E21561" w:rsidRDefault="00E21561" w:rsidP="00F11FA3"/>
    <w:p w14:paraId="354B6765" w14:textId="130EED07" w:rsidR="007D2FED" w:rsidRDefault="0002481F" w:rsidP="00F11FA3">
      <w:r w:rsidRPr="0002481F">
        <w:t>Att vara aktiv i en förening/ha ett förtroendeuppdrag är något som de flest</w:t>
      </w:r>
      <w:r w:rsidR="00E21561">
        <w:t>a</w:t>
      </w:r>
      <w:r w:rsidRPr="0002481F">
        <w:t xml:space="preserve"> människor är under ett arbetsliv</w:t>
      </w:r>
      <w:r w:rsidR="00E21561">
        <w:t xml:space="preserve">. Det är </w:t>
      </w:r>
      <w:r w:rsidR="00331038">
        <w:t xml:space="preserve">dessutom något som mer eller mindre </w:t>
      </w:r>
      <w:r w:rsidR="00E21561">
        <w:t xml:space="preserve">förväntas av en. </w:t>
      </w:r>
      <w:r w:rsidR="007D2FED">
        <w:t>Vi skulle vilja veta hur Försäkringskassan tolkar denn</w:t>
      </w:r>
      <w:r w:rsidR="00917891">
        <w:t>a ”rätt” i förhållande till personer som uppbär ersättning från sjukförsäkringen, oavsett</w:t>
      </w:r>
      <w:r w:rsidR="00234540">
        <w:t xml:space="preserve"> omfattning.</w:t>
      </w:r>
      <w:r w:rsidRPr="0002481F">
        <w:t xml:space="preserve"> </w:t>
      </w:r>
    </w:p>
    <w:p w14:paraId="065E6300" w14:textId="67763CA4" w:rsidR="00F11FA3" w:rsidRDefault="00F11FA3" w:rsidP="00F11FA3"/>
    <w:p w14:paraId="2F9AF974" w14:textId="6E08B4AA" w:rsidR="00F11FA3" w:rsidRDefault="00F11FA3" w:rsidP="00F11FA3">
      <w:r>
        <w:t>Vår uppfattning är att dessa medlemmar får olika besked om hur mycket de kan vara verksamma ideellt beroende på var de bor/vilken handläggare de talar med. Detta skapar en stor osäkerhet och rädsla för att förlora den sjukersättning som man har. Många uppmanas att ringa, något som många drar sig för av skäl som framkommer i exemplen nedan. Vår syn på saken är att ideellt arbete ofta kan vara en väg tillbaka till arbetslivet, en form av rehabilitering.</w:t>
      </w:r>
    </w:p>
    <w:p w14:paraId="3CC81953" w14:textId="77777777" w:rsidR="00EC032C" w:rsidRDefault="00EC032C" w:rsidP="00EC032C"/>
    <w:p w14:paraId="63805D31" w14:textId="7F7D6D48" w:rsidR="00EC032C" w:rsidRPr="00FE2963" w:rsidRDefault="00EC032C" w:rsidP="00EC032C">
      <w:r w:rsidRPr="00FE2963">
        <w:t>Vi anser att reglerna för att ideellt engagemang för individer som uppbär ersättning från sjukförsäkringen</w:t>
      </w:r>
      <w:r w:rsidR="00E138BD">
        <w:t>, oavsett omfattning,</w:t>
      </w:r>
      <w:r w:rsidRPr="00FE2963">
        <w:t xml:space="preserve"> behöver: </w:t>
      </w:r>
    </w:p>
    <w:p w14:paraId="4E840B0C" w14:textId="77777777" w:rsidR="00EC032C" w:rsidRPr="00FE2963" w:rsidRDefault="00EC032C" w:rsidP="00EC032C">
      <w:pPr>
        <w:numPr>
          <w:ilvl w:val="0"/>
          <w:numId w:val="2"/>
        </w:numPr>
      </w:pPr>
      <w:r w:rsidRPr="00FE2963">
        <w:t>framgå tydligt på hemsidan</w:t>
      </w:r>
    </w:p>
    <w:p w14:paraId="3AA8BAEE" w14:textId="77777777" w:rsidR="00EC032C" w:rsidRPr="00FE2963" w:rsidRDefault="00EC032C" w:rsidP="00EC032C">
      <w:pPr>
        <w:numPr>
          <w:ilvl w:val="0"/>
          <w:numId w:val="2"/>
        </w:numPr>
      </w:pPr>
      <w:r w:rsidRPr="00FE2963">
        <w:t xml:space="preserve">kommuniceras på ett lättbegripligt sätt </w:t>
      </w:r>
    </w:p>
    <w:p w14:paraId="472388F2" w14:textId="77777777" w:rsidR="005A71D3" w:rsidRDefault="00AD3158" w:rsidP="00EC032C">
      <w:pPr>
        <w:numPr>
          <w:ilvl w:val="0"/>
          <w:numId w:val="2"/>
        </w:numPr>
      </w:pPr>
      <w:r w:rsidRPr="00AD3158">
        <w:t xml:space="preserve">kunna upplevas som förutsägbara av individen så att hen förstår om/hur mycket ideellt arbete kan påverka hens egen ekonomi.  </w:t>
      </w:r>
    </w:p>
    <w:p w14:paraId="622B7607" w14:textId="1D3A5600" w:rsidR="00EC032C" w:rsidRDefault="00CC1AC1" w:rsidP="00FE2963">
      <w:pPr>
        <w:numPr>
          <w:ilvl w:val="0"/>
          <w:numId w:val="2"/>
        </w:numPr>
      </w:pPr>
      <w:r>
        <w:t>u</w:t>
      </w:r>
      <w:r w:rsidR="00262DA0">
        <w:t>ppfattas som rimliga</w:t>
      </w:r>
    </w:p>
    <w:p w14:paraId="6E3A10C2" w14:textId="77777777" w:rsidR="003F1D75" w:rsidRDefault="003F1D75" w:rsidP="00FE2963"/>
    <w:p w14:paraId="46E0A182" w14:textId="77777777" w:rsidR="003F1D75" w:rsidRPr="003F1D75" w:rsidRDefault="003F1D75" w:rsidP="003F1D75">
      <w:r w:rsidRPr="003F1D75">
        <w:lastRenderedPageBreak/>
        <w:t>På liknande sätt dyker frågor om rätten till sjukersättning eller sjukpenning upp när man samtidigt har omvårdnadsbidrag.</w:t>
      </w:r>
    </w:p>
    <w:p w14:paraId="32A0D8A9" w14:textId="77777777" w:rsidR="003F1D75" w:rsidRPr="003F1D75" w:rsidRDefault="003F1D75" w:rsidP="003F1D75"/>
    <w:p w14:paraId="5FA49C77" w14:textId="77777777" w:rsidR="003F1D75" w:rsidRPr="003F1D75" w:rsidRDefault="003F1D75" w:rsidP="003F1D75">
      <w:r w:rsidRPr="003F1D75">
        <w:t xml:space="preserve">Vi anser att reglerna för att uppbära </w:t>
      </w:r>
      <w:r w:rsidRPr="003F1D75">
        <w:rPr>
          <w:b/>
          <w:bCs/>
        </w:rPr>
        <w:t xml:space="preserve">sjukersättning oavsett omfattning </w:t>
      </w:r>
      <w:r w:rsidRPr="003F1D75">
        <w:t>samtidigt med omvårdnadsbidrag</w:t>
      </w:r>
      <w:r w:rsidRPr="003F1D75">
        <w:rPr>
          <w:b/>
          <w:bCs/>
        </w:rPr>
        <w:t xml:space="preserve"> </w:t>
      </w:r>
      <w:r w:rsidRPr="003F1D75">
        <w:t xml:space="preserve">behöver: </w:t>
      </w:r>
    </w:p>
    <w:p w14:paraId="49136F9A" w14:textId="77777777" w:rsidR="003F1D75" w:rsidRPr="003F1D75" w:rsidRDefault="003F1D75" w:rsidP="003F1D75">
      <w:pPr>
        <w:numPr>
          <w:ilvl w:val="0"/>
          <w:numId w:val="3"/>
        </w:numPr>
      </w:pPr>
      <w:r w:rsidRPr="003F1D75">
        <w:t>framgå tydligt på hemsidan – även i informationen om omvårdnadsbidraget</w:t>
      </w:r>
    </w:p>
    <w:p w14:paraId="09AD2FC7" w14:textId="77777777" w:rsidR="003F1D75" w:rsidRPr="003F1D75" w:rsidRDefault="003F1D75" w:rsidP="003F1D75">
      <w:pPr>
        <w:numPr>
          <w:ilvl w:val="0"/>
          <w:numId w:val="3"/>
        </w:numPr>
      </w:pPr>
      <w:r w:rsidRPr="003F1D75">
        <w:t xml:space="preserve">kommuniceras på ett lättbegripligt sätt </w:t>
      </w:r>
    </w:p>
    <w:p w14:paraId="540EAE0C" w14:textId="77777777" w:rsidR="003F1D75" w:rsidRDefault="003F1D75" w:rsidP="003F1D75">
      <w:pPr>
        <w:numPr>
          <w:ilvl w:val="0"/>
          <w:numId w:val="3"/>
        </w:numPr>
      </w:pPr>
      <w:r w:rsidRPr="003F1D75">
        <w:t>kunna upplevas som förutsägbara av individen så att hen förstår hur rätten till sjukersättning/sjukförsäkring och omvårdnadsbidrag samtidigt kan påverka hens egen ekonomi.</w:t>
      </w:r>
    </w:p>
    <w:p w14:paraId="2A867AAC" w14:textId="3761E74A" w:rsidR="00CC1AC1" w:rsidRDefault="00CC1AC1" w:rsidP="003F1D75">
      <w:pPr>
        <w:numPr>
          <w:ilvl w:val="0"/>
          <w:numId w:val="3"/>
        </w:numPr>
      </w:pPr>
      <w:r>
        <w:t>uppfattas som rimliga</w:t>
      </w:r>
    </w:p>
    <w:p w14:paraId="6D64830B" w14:textId="77777777" w:rsidR="00286F6E" w:rsidRDefault="00286F6E" w:rsidP="00286F6E"/>
    <w:p w14:paraId="0AF3EDFD" w14:textId="77777777" w:rsidR="00286F6E" w:rsidRDefault="00286F6E" w:rsidP="00286F6E">
      <w:pPr>
        <w:pStyle w:val="Rubrik2"/>
      </w:pPr>
      <w:r>
        <w:t xml:space="preserve">Stora skillnader mellan arbete och ideellt åtagande </w:t>
      </w:r>
    </w:p>
    <w:p w14:paraId="4AFDBD94" w14:textId="37866EEC" w:rsidR="00286F6E" w:rsidRDefault="00286F6E" w:rsidP="00286F6E">
      <w:r w:rsidRPr="00FE2963">
        <w:t xml:space="preserve">I </w:t>
      </w:r>
      <w:r w:rsidR="001A71A4">
        <w:t>en</w:t>
      </w:r>
      <w:r>
        <w:t xml:space="preserve"> </w:t>
      </w:r>
      <w:r w:rsidRPr="00FE2963">
        <w:t>debattartikel</w:t>
      </w:r>
      <w:r w:rsidR="00CA7192">
        <w:rPr>
          <w:rStyle w:val="Fotnotsreferens"/>
        </w:rPr>
        <w:footnoteReference w:id="5"/>
      </w:r>
      <w:r w:rsidR="001A71A4">
        <w:t xml:space="preserve"> undertecknad av </w:t>
      </w:r>
      <w:r w:rsidR="001A71A4" w:rsidRPr="00FE2963">
        <w:t>Funktionsrätt Sverige, DHR, Barncancerfonden och Studieförbundet Vuxenskolan</w:t>
      </w:r>
      <w:r w:rsidRPr="00FE2963">
        <w:t xml:space="preserve"> </w:t>
      </w:r>
      <w:r w:rsidR="001A71A4">
        <w:t>betonas</w:t>
      </w:r>
      <w:r w:rsidRPr="00FE2963">
        <w:t xml:space="preserve"> den stora skillnaden mellan att utöva sysslor av ideell karaktär och ett förvärvsarbete. </w:t>
      </w:r>
    </w:p>
    <w:p w14:paraId="035EB93A" w14:textId="77777777" w:rsidR="00286F6E" w:rsidRDefault="00286F6E" w:rsidP="00286F6E"/>
    <w:p w14:paraId="63F48D1B" w14:textId="77777777" w:rsidR="00286F6E" w:rsidRDefault="00286F6E" w:rsidP="00286F6E">
      <w:r w:rsidRPr="00FE2963">
        <w:t xml:space="preserve">”Förutom att arbete styrs av ekonomiska incitament, uppställs krav genom anställningsavtal. Arbetsuppgifter ska utföras efter arbetsgivarens givna ramar och många gånger under tidspress. Ofta ställs krav på social kompetens i samband med fikaraster, teamarbete och gemensamhetsaktiviteter. </w:t>
      </w:r>
    </w:p>
    <w:p w14:paraId="37D63700" w14:textId="03510C94" w:rsidR="00286F6E" w:rsidRDefault="00286F6E" w:rsidP="00286F6E">
      <w:r w:rsidRPr="00FE2963">
        <w:t>Vid fritidsaktiviteter, ideellt engagemang och politiska åtaganden kan individen själv bestämma och styra omfattning och tider i förhållande till egna möjligheter och begränsningar. Ideellt aktiva kan kliva åt sidan när dagsformen tryter, medan arbetsföra förväntas prestera varje dag.”</w:t>
      </w:r>
      <w:r>
        <w:t xml:space="preserve"> Skillnaderna mellan arbete och ideellt engagemang, kan läsas mer om i </w:t>
      </w:r>
      <w:r w:rsidR="00D57D66">
        <w:t xml:space="preserve">en </w:t>
      </w:r>
      <w:r>
        <w:t>skrivelse till sjuk- och aktivitetsersättningsutredningen.</w:t>
      </w:r>
      <w:r>
        <w:rPr>
          <w:rStyle w:val="Fotnotsreferens"/>
        </w:rPr>
        <w:footnoteReference w:id="6"/>
      </w:r>
    </w:p>
    <w:p w14:paraId="111A839E" w14:textId="77777777" w:rsidR="003F1D75" w:rsidRDefault="003F1D75" w:rsidP="00FE2963"/>
    <w:p w14:paraId="6B7EBD2D" w14:textId="55BAD34C" w:rsidR="007620FA" w:rsidRPr="00FE2963" w:rsidRDefault="007620FA" w:rsidP="00F33412">
      <w:pPr>
        <w:pStyle w:val="Rubrik2"/>
        <w:rPr>
          <w:sz w:val="28"/>
          <w:szCs w:val="28"/>
        </w:rPr>
      </w:pPr>
      <w:r w:rsidRPr="007620FA">
        <w:rPr>
          <w:sz w:val="28"/>
          <w:szCs w:val="28"/>
        </w:rPr>
        <w:t xml:space="preserve">Konsekvenser av att begränsas </w:t>
      </w:r>
    </w:p>
    <w:p w14:paraId="09BD5A50" w14:textId="33F52F8F" w:rsidR="005479E0" w:rsidRDefault="00FE2963" w:rsidP="00FE2963">
      <w:r w:rsidRPr="00FE2963">
        <w:t xml:space="preserve">Att </w:t>
      </w:r>
      <w:r w:rsidR="00A906CE">
        <w:t xml:space="preserve">uppleva sig </w:t>
      </w:r>
      <w:r w:rsidRPr="00FE2963">
        <w:t>förhindra</w:t>
      </w:r>
      <w:r w:rsidR="00A906CE">
        <w:t>d</w:t>
      </w:r>
      <w:r w:rsidRPr="00FE2963">
        <w:t xml:space="preserve"> att engagera sig i samhällslivet påverkar möjligheten att må bra. Föreningsarbete kan fungera som vägen in i ett socialt sammanhang och skapa känslan av delaktighet. Det kan vara extra viktigt för personer som saknar arbete/sysselsättning och samtidigt ge andra värdefulla erfarenheter som för människor </w:t>
      </w:r>
      <w:r w:rsidRPr="00FE2963">
        <w:lastRenderedPageBreak/>
        <w:t xml:space="preserve">närmare arbetsmarknaden. Att uppleva sig förhindrad att engagera sig ideellt och på så sätt begränsas i sina möjligheter att påverka i viktiga samhällsfrågor blir också ett demokratiproblem, vilket bland annat </w:t>
      </w:r>
      <w:r w:rsidR="007620FA">
        <w:t>lyfts i den ovan nämnda debattartikeln.</w:t>
      </w:r>
      <w:r w:rsidRPr="00FE2963">
        <w:rPr>
          <w:vertAlign w:val="superscript"/>
        </w:rPr>
        <w:footnoteReference w:id="7"/>
      </w:r>
      <w:r w:rsidR="00DE58F7">
        <w:t xml:space="preserve"> </w:t>
      </w:r>
    </w:p>
    <w:p w14:paraId="38FCC651" w14:textId="77777777" w:rsidR="001867BB" w:rsidRDefault="001867BB" w:rsidP="00FE2963"/>
    <w:p w14:paraId="3F3EC2CC" w14:textId="5351B9DD" w:rsidR="001867BB" w:rsidRDefault="001D3E49" w:rsidP="001D3E49">
      <w:pPr>
        <w:pStyle w:val="Rubrik2"/>
      </w:pPr>
      <w:bookmarkStart w:id="2" w:name="_Hlk129022434"/>
      <w:r>
        <w:t xml:space="preserve">Ideellt engagemang rehabiliterande </w:t>
      </w:r>
    </w:p>
    <w:bookmarkEnd w:id="2"/>
    <w:p w14:paraId="15B3DC85" w14:textId="35082929" w:rsidR="0076610D" w:rsidRDefault="001867BB" w:rsidP="00FE2963">
      <w:r w:rsidRPr="001867BB">
        <w:t xml:space="preserve">Föreningsarbete kan göra att man kommer in i ett socialt sammanhang och känner sig delaktig, vilket är extra viktigt för personer som saknar arbete/sysselsättning. Att bli del i ett sammanhang och känna att man kan bidra skapar i sig hälsa, välmående och framtidstro. Det kan också ge andra värdefulla erfarenheter som för människor närmare arbetsmarknaden. Att uppleva sig förhindrad att engagera sig ideellt och på så sätt begränsas i sina möjligheter att påverka i samhällsfrågor </w:t>
      </w:r>
      <w:r w:rsidR="00C9473D">
        <w:t>kan</w:t>
      </w:r>
      <w:r w:rsidRPr="001867BB">
        <w:t xml:space="preserve"> försämra rehabiliteringsprocessen</w:t>
      </w:r>
      <w:r w:rsidR="00C9473D">
        <w:t>.</w:t>
      </w:r>
    </w:p>
    <w:p w14:paraId="12F398B5" w14:textId="77777777" w:rsidR="00C9473D" w:rsidRDefault="00C9473D" w:rsidP="00FE2963"/>
    <w:p w14:paraId="06234CF2" w14:textId="5E75ACE9" w:rsidR="00997D49" w:rsidRDefault="00997D49" w:rsidP="00997D49">
      <w:pPr>
        <w:pStyle w:val="Rubrik2"/>
      </w:pPr>
      <w:bookmarkStart w:id="3" w:name="_Hlk129023767"/>
      <w:r>
        <w:t xml:space="preserve">Det demokratiska perspektivet </w:t>
      </w:r>
    </w:p>
    <w:bookmarkEnd w:id="3"/>
    <w:p w14:paraId="311A34D9" w14:textId="65BD6498" w:rsidR="005D2EFF" w:rsidRDefault="005D2EFF" w:rsidP="00FE2963">
      <w:r w:rsidRPr="005D2EFF">
        <w:t>Ideellt engagemang, såsom exempelvis föreningsarbete, bör betraktas som rehabiliterande aktiviteter eller fritidsaktiviteter som varje människa har rätt att utöva. Om människor av rädsla för att förlora sin ersättning hindras från att delta i föreningslivet urholkas både individens rätt och det demokratiska samhället. Det gäller oavsett</w:t>
      </w:r>
      <w:r w:rsidR="00CB2268">
        <w:t xml:space="preserve"> om</w:t>
      </w:r>
      <w:r w:rsidRPr="005D2EFF">
        <w:t xml:space="preserve"> personen uppbär hel eller halv ersättning.</w:t>
      </w:r>
    </w:p>
    <w:p w14:paraId="414B62B2" w14:textId="77777777" w:rsidR="00732E80" w:rsidRDefault="00732E80" w:rsidP="00FE2963"/>
    <w:p w14:paraId="0BE5271B" w14:textId="2127190B" w:rsidR="00DE58F7" w:rsidRDefault="00732E80" w:rsidP="00FE2963">
      <w:r w:rsidRPr="00732E80">
        <w:t xml:space="preserve">Att kunna engagera sig i ideellt arbete, politiska uppdrag och i fritidsaktiviteter måste ses som en demokratisk rättighet. Är det rimligt att den begränsas i omfattning för vissa? </w:t>
      </w:r>
      <w:r w:rsidR="00E8453E">
        <w:t>Det ideella</w:t>
      </w:r>
      <w:r w:rsidR="00E8453E" w:rsidRPr="00E8453E">
        <w:t xml:space="preserve"> engagemang</w:t>
      </w:r>
      <w:r w:rsidR="00E8453E">
        <w:t>et är d</w:t>
      </w:r>
      <w:r w:rsidR="008E738C">
        <w:t>ärtill</w:t>
      </w:r>
      <w:r w:rsidR="00E8453E" w:rsidRPr="00E8453E">
        <w:t xml:space="preserve"> själva fundamentet för funktionsrättsrörelsens och hela folkrörelsens existens</w:t>
      </w:r>
      <w:r w:rsidR="00D15B24">
        <w:t>.</w:t>
      </w:r>
    </w:p>
    <w:p w14:paraId="08A5968F" w14:textId="77777777" w:rsidR="00DE58F7" w:rsidRDefault="00DE58F7" w:rsidP="00FE2963"/>
    <w:p w14:paraId="2E96EFC1" w14:textId="77777777" w:rsidR="0001440C" w:rsidRDefault="0001440C" w:rsidP="00FE2963">
      <w:r>
        <w:t>Vi frågar oss om en begränsning är</w:t>
      </w:r>
      <w:r w:rsidR="00732E80" w:rsidRPr="00732E80">
        <w:t xml:space="preserve"> förenlig</w:t>
      </w:r>
      <w:r>
        <w:t xml:space="preserve"> </w:t>
      </w:r>
      <w:r w:rsidR="00732E80" w:rsidRPr="00732E80">
        <w:t>med Sveriges åtagande enligt Funktionsrättskonventionen som ger personer med funktionsnedsättning rätt att vara delaktig i samhället på lika villkor som andra. Av exempelvis artikel 29 framgår att:</w:t>
      </w:r>
      <w:r>
        <w:br/>
      </w:r>
    </w:p>
    <w:p w14:paraId="79C5CE61" w14:textId="5C26C23C" w:rsidR="00DE58F7" w:rsidRDefault="00732E80" w:rsidP="00FE2963">
      <w:r w:rsidRPr="00732E80">
        <w:t xml:space="preserve">”Konventionsstaterna ska garantera personer med funktionsnedsättning politiska rättigheter och möjlighet att åtnjuta dem på lika villkor som andra och förpliktigar sig att: a) säkerställa att personer med funktionsnedsättning effektivt och fullständigt kan delta i det politiska och offentliga livet på lika villkor som andra …” </w:t>
      </w:r>
      <w:r w:rsidR="008E278C">
        <w:br/>
      </w:r>
      <w:r w:rsidR="008E278C">
        <w:br/>
      </w:r>
      <w:r w:rsidRPr="00732E80">
        <w:lastRenderedPageBreak/>
        <w:t xml:space="preserve">Även konventionens allmänna princip i artikel 3 aktualiseras som innebär ett fullständigt och faktiskt deltagande och inkludering i samhället. </w:t>
      </w:r>
    </w:p>
    <w:p w14:paraId="1CB38C0E" w14:textId="77777777" w:rsidR="00C00BBA" w:rsidRDefault="00C00BBA" w:rsidP="00FE2963"/>
    <w:p w14:paraId="721D1FB8" w14:textId="43030CDE" w:rsidR="00C00BBA" w:rsidRDefault="00C00BBA" w:rsidP="00C00BBA">
      <w:pPr>
        <w:pStyle w:val="Rubrik2"/>
      </w:pPr>
      <w:r>
        <w:t>Ökad ohälsa och sämre rehabiliteringsmöjligheter</w:t>
      </w:r>
    </w:p>
    <w:p w14:paraId="55C175B7" w14:textId="1182635F" w:rsidR="00FE2963" w:rsidRDefault="00C00BBA" w:rsidP="00FE2963">
      <w:r w:rsidRPr="00C00BBA">
        <w:t>Den kontroll som riskerar att bli följden av ett alltför stramt regelverk, är ökad ohälsa, sämre livskvalitet och rehabiliteringsmöjligheter. Fritidsaktiviteter och engagemang inom ideella organisationer kan vara viktiga steg på väg tillbaka och därmed de facto rehabiliterande. Det ökar också känslan av sammanhang, självkänsla och värde.</w:t>
      </w:r>
    </w:p>
    <w:p w14:paraId="50225450" w14:textId="77777777" w:rsidR="00FE2963" w:rsidRDefault="00FE2963" w:rsidP="00FE2963">
      <w:pPr>
        <w:rPr>
          <w:b/>
          <w:bCs/>
        </w:rPr>
      </w:pPr>
    </w:p>
    <w:p w14:paraId="7BC07BD1" w14:textId="658C5359" w:rsidR="00FE2963" w:rsidRPr="00A47251" w:rsidRDefault="00FE2963" w:rsidP="00FE2963">
      <w:pPr>
        <w:pStyle w:val="Rubrik2"/>
        <w:rPr>
          <w:b w:val="0"/>
          <w:bCs w:val="0"/>
          <w:sz w:val="28"/>
          <w:szCs w:val="28"/>
        </w:rPr>
      </w:pPr>
      <w:r w:rsidRPr="00A47251">
        <w:rPr>
          <w:sz w:val="28"/>
          <w:szCs w:val="28"/>
        </w:rPr>
        <w:t xml:space="preserve">Exempel från medlemsförbunden </w:t>
      </w:r>
    </w:p>
    <w:p w14:paraId="177B09D8" w14:textId="77777777" w:rsidR="00FE2963" w:rsidRDefault="00FE2963" w:rsidP="00FE2963">
      <w:pPr>
        <w:rPr>
          <w:b/>
          <w:bCs/>
        </w:rPr>
      </w:pPr>
    </w:p>
    <w:p w14:paraId="739CA1BC" w14:textId="233E4461" w:rsidR="00FE2963" w:rsidRPr="00FE2963" w:rsidRDefault="00FE2963" w:rsidP="00FE2963">
      <w:pPr>
        <w:pStyle w:val="Rubrik2"/>
        <w:rPr>
          <w:b w:val="0"/>
          <w:bCs w:val="0"/>
        </w:rPr>
      </w:pPr>
      <w:r w:rsidRPr="00FE2963">
        <w:t>Från Reumatikerförbundets</w:t>
      </w:r>
      <w:r w:rsidR="00F53E92">
        <w:rPr>
          <w:rStyle w:val="Fotnotsreferens"/>
        </w:rPr>
        <w:footnoteReference w:id="8"/>
      </w:r>
      <w:r w:rsidRPr="00FE2963">
        <w:t xml:space="preserve"> rådgivning Reuma Direkt </w:t>
      </w:r>
      <w:r>
        <w:rPr>
          <w:b w:val="0"/>
          <w:bCs w:val="0"/>
        </w:rPr>
        <w:br/>
      </w:r>
    </w:p>
    <w:p w14:paraId="5AF5ADD8" w14:textId="6A5A550E" w:rsidR="00FE2963" w:rsidRPr="00FE2963" w:rsidRDefault="00FE2963" w:rsidP="00FE2963">
      <w:r w:rsidRPr="00FE2963">
        <w:t>”Rent allmänt har personer vi träffar och talar med en allmän rädsla och försiktighet inför kontakten med Försäkringskassan i dessa frågor. Det är mycket svårt att veta vad som gäller när det gäller ideellt arbete. Hur mycket får man arbeta utan att sjukersättningen från Försäkringskassan blir påverkad eller indragen? Här finns många olika bud, någon har hört att man kan få tjäna upp till ett basbelopp under ett år medan andra personer har fått helt andra uppgifter och då betydligt lägre summor. Eller att man inte får göra något extra arbete/ideellt arbete överhuvudtaget. Därför väljer man eller snarare vågar man inte ta kontakt med Försäkringskassan – alltså inte väcka den björn som sover…. Det måste vara TYDLIGT – vad är det som gäller!! Det finns så många olika bud!!</w:t>
      </w:r>
      <w:r>
        <w:br/>
      </w:r>
    </w:p>
    <w:p w14:paraId="1E1B1DC0" w14:textId="77777777" w:rsidR="00FE2963" w:rsidRPr="00FE2963" w:rsidRDefault="00FE2963" w:rsidP="00FE2963">
      <w:r w:rsidRPr="00FE2963">
        <w:t>Några exempel:</w:t>
      </w:r>
    </w:p>
    <w:p w14:paraId="1150FFE8" w14:textId="77777777" w:rsidR="00FE2963" w:rsidRPr="00FE2963" w:rsidRDefault="00FE2963" w:rsidP="00FE2963">
      <w:pPr>
        <w:numPr>
          <w:ilvl w:val="0"/>
          <w:numId w:val="1"/>
        </w:numPr>
      </w:pPr>
      <w:r w:rsidRPr="00FE2963">
        <w:t>Flera vågar inte engagera sig i den omfattning de vill. Här ska sägas att det inte handlar om några stora summor. Det kan till exempel handla om ett uppdrag som ger max 1000 kronor i månaden. Som ideellt engagerad gör man ett mycket viktigt arbete för att öka kunskapen om i det här fallet reumatiska sjukdomar främst RA, att öka förståelsen för hur det är ”Att leva med RA”.</w:t>
      </w:r>
    </w:p>
    <w:p w14:paraId="6B7620C0" w14:textId="77777777" w:rsidR="00FE2963" w:rsidRPr="00FE2963" w:rsidRDefault="00FE2963" w:rsidP="00FE2963">
      <w:pPr>
        <w:numPr>
          <w:ilvl w:val="0"/>
          <w:numId w:val="1"/>
        </w:numPr>
      </w:pPr>
      <w:r w:rsidRPr="00FE2963">
        <w:t xml:space="preserve">En person vågade inte fortsätta med sitt ideella engagemang för att han äntligen kommit med i ett arbetsmarknadspolitiskt program och att man absolut inte då får göra någon form av </w:t>
      </w:r>
      <w:r w:rsidRPr="00FE2963">
        <w:lastRenderedPageBreak/>
        <w:t>extra utbildning/annan utbildning. Det slutade i alla fall med att personen inte vågade fortsätta utbildningen för det blev en så otroligt krångligt och stor rädsla för att bli av med ersättningen.</w:t>
      </w:r>
    </w:p>
    <w:p w14:paraId="2DD34BCE" w14:textId="77777777" w:rsidR="00FE2963" w:rsidRPr="00FE2963" w:rsidRDefault="00FE2963" w:rsidP="00FE2963">
      <w:pPr>
        <w:numPr>
          <w:ilvl w:val="0"/>
          <w:numId w:val="1"/>
        </w:numPr>
      </w:pPr>
      <w:r w:rsidRPr="00FE2963">
        <w:t>Det finns en osäkerhet hur många timmar man kan arbeta och rädsla för att bli av med ersättningen och inte arbeta för mycket.”</w:t>
      </w:r>
    </w:p>
    <w:p w14:paraId="1E0FE099" w14:textId="4A6A2C20" w:rsidR="00FE2963" w:rsidRPr="00FE2963" w:rsidRDefault="00FE2963" w:rsidP="00FE2963">
      <w:pPr>
        <w:pStyle w:val="Rubrik2"/>
      </w:pPr>
      <w:proofErr w:type="spellStart"/>
      <w:r>
        <w:t>Neuro</w:t>
      </w:r>
      <w:proofErr w:type="spellEnd"/>
      <w:r>
        <w:t xml:space="preserve"> </w:t>
      </w:r>
    </w:p>
    <w:p w14:paraId="6228215A" w14:textId="77777777" w:rsidR="00FE2963" w:rsidRPr="00FE2963" w:rsidRDefault="00FE2963" w:rsidP="00FE2963">
      <w:r w:rsidRPr="00FE2963">
        <w:t>”Jag har inga specifika exempel att förmedla, men frågan uppkommer med regelbundenhet i samband med andra frågor från de medlemmar jag ger juridisk rådgivning till. Det finns definitivt en oro och osäkerhet kring vad man får och inte får göra. Det är olyckligt att detta påverkar viljan och möjligheten till aktiviteter och att engagera sig. Det blir en demokratifråga där röster tystas. Röster som ofta inte blir hörda i andra sammanhang heller.”</w:t>
      </w:r>
    </w:p>
    <w:p w14:paraId="32992702" w14:textId="77777777" w:rsidR="00FE2963" w:rsidRDefault="00FE2963" w:rsidP="00FE2963">
      <w:pPr>
        <w:rPr>
          <w:b/>
          <w:bCs/>
        </w:rPr>
      </w:pPr>
    </w:p>
    <w:p w14:paraId="38945662" w14:textId="2F7327E0" w:rsidR="00FE2963" w:rsidRPr="00FE2963" w:rsidRDefault="00FE2963" w:rsidP="00FE2963">
      <w:pPr>
        <w:pStyle w:val="Rubrik2"/>
      </w:pPr>
      <w:r>
        <w:t xml:space="preserve">Riksförbundet för RME </w:t>
      </w:r>
    </w:p>
    <w:p w14:paraId="2DC2BB87" w14:textId="7B7AF661" w:rsidR="00FE2963" w:rsidRPr="00FE2963" w:rsidRDefault="00FE2963" w:rsidP="00FE2963">
      <w:r w:rsidRPr="00FE2963">
        <w:t xml:space="preserve">”I RME känner vi mycket väl igen oron att ta på sig förtroendeuppdrag om man har sjukersättning. Dessutom händer det att medlemmar fråntas sjukpenning eller sjukersättning, som de kan ha fått </w:t>
      </w:r>
      <w:proofErr w:type="spellStart"/>
      <w:r w:rsidRPr="00FE2963">
        <w:t>pga</w:t>
      </w:r>
      <w:proofErr w:type="spellEnd"/>
      <w:r w:rsidRPr="00FE2963">
        <w:t xml:space="preserve"> en närliggande diagnos </w:t>
      </w:r>
      <w:proofErr w:type="gramStart"/>
      <w:r w:rsidRPr="00FE2963">
        <w:t>t.ex.</w:t>
      </w:r>
      <w:proofErr w:type="gramEnd"/>
      <w:r w:rsidRPr="00FE2963">
        <w:t xml:space="preserve"> fibromyalgi, när de också får diagnos ME/CFS.”</w:t>
      </w:r>
      <w:r>
        <w:br/>
      </w:r>
    </w:p>
    <w:p w14:paraId="6FCD8FEB" w14:textId="73367ECB" w:rsidR="00FE2963" w:rsidRPr="00FE2963" w:rsidRDefault="00FE2963" w:rsidP="00FE2963">
      <w:pPr>
        <w:pStyle w:val="Rubrik2"/>
        <w:rPr>
          <w:b w:val="0"/>
          <w:bCs w:val="0"/>
        </w:rPr>
      </w:pPr>
      <w:bookmarkStart w:id="4" w:name="_Hlk129070567"/>
      <w:r>
        <w:t>DHR – Delaktighet, Handlingskraft, Rörelsefrihet</w:t>
      </w:r>
    </w:p>
    <w:bookmarkEnd w:id="4"/>
    <w:p w14:paraId="22A1004A" w14:textId="0BEF6ED1" w:rsidR="00FE2963" w:rsidRPr="00FE2963" w:rsidRDefault="00FE2963" w:rsidP="00FE2963">
      <w:r w:rsidRPr="00FE2963">
        <w:t>”Vi har liknande erfarenhet som ni alla har. Personer som inte vågar ta uppdrag för att det kan räknas som arbetsförmåga. Vi har en medlem som fick fråntagen sjukersättning då hen hade politiska uppdrag. Detta strider mot FN-konventionen då vi på lika villkor ska kunna vara delaktiga i den demokratiska processen. Vi har också medlemmar som ringer och frågar oss om de ska våga.</w:t>
      </w:r>
      <w:r w:rsidRPr="00FE2963">
        <w:br/>
        <w:t xml:space="preserve">Det är även mycket otydligt hur de tio timmarna förhåller sig till åttondelen i dagens system. I och med att politiska uppdrag ibland ger ett sammanträdesarvode måste en person med sjukersättning kunna intjäna detta arvode. Om inte denna möjlighet finns, diskvalificeras den försäkrade från politiska uppdrag och den demokratiska processen. </w:t>
      </w:r>
    </w:p>
    <w:p w14:paraId="1594CCFC" w14:textId="77777777" w:rsidR="00FE2963" w:rsidRPr="00FE2963" w:rsidRDefault="00FE2963" w:rsidP="00FE2963">
      <w:r w:rsidRPr="00FE2963">
        <w:t xml:space="preserve">Sammantaget strider detta tvärt emot FN:s konvention om rättigheter för personer med funktionsnedsättning som Sverige har förbundit sig att följa. Enligt artikel 29 i konventionen framgår att ”Konventionsstaterna ska garantera personer med funktionsnedsättning politiska rättigheter och möjlighet att åtnjuta dem på lika villkor som andra”. I samma artikel framgår även att konventionsstaterna ska ”säkerställa att personer med funktionsnedsättning effektivt och fullständigt kan delta i det </w:t>
      </w:r>
      <w:r w:rsidRPr="00FE2963">
        <w:lastRenderedPageBreak/>
        <w:t>politiska och offentliga livet på lika villkor som andra, direkt eller genom fritt valda ombud…”. Vi menar att tio timmar i veckan inte innebär att den försäkrade har möjlighet att åtnjuta politiska rättigheter och möjligheter på lika villkor som andra.</w:t>
      </w:r>
    </w:p>
    <w:p w14:paraId="08889892" w14:textId="77777777" w:rsidR="00FE2963" w:rsidRPr="00FE2963" w:rsidRDefault="00FE2963" w:rsidP="00FE2963">
      <w:r w:rsidRPr="00FE2963">
        <w:t>Principerna i artikel 3 i konventionen blir även aktuella och innebär tydliga krav på fullständigt och faktiskt deltagande och inkludering i samhället samt lika möjligheter för personer med funktionsnedsättning.</w:t>
      </w:r>
    </w:p>
    <w:p w14:paraId="7B51D547" w14:textId="77777777" w:rsidR="00FE2963" w:rsidRDefault="00FE2963" w:rsidP="00FE2963">
      <w:r w:rsidRPr="00FE2963">
        <w:t>Ideella sysslor kan vara ett sätt att pröva sin arbetsförmåga själv i en säker miljö för att kunna närma sig arbetsmarknaden, men det kan även handla om förebyggande av ohälsa som är kopplad till ensamhet och isolering. Ideellt arbete kan heller inte likställas med att ha en anställning och innebär inte samma krav på individens regelbundna deltagande och prestation som i ett anställningsförhållande. ”</w:t>
      </w:r>
    </w:p>
    <w:p w14:paraId="77051B4E" w14:textId="77777777" w:rsidR="00EB7CBC" w:rsidRDefault="00EB7CBC" w:rsidP="00FE2963"/>
    <w:p w14:paraId="65F5D5FB" w14:textId="5212C41F" w:rsidR="00EB7CBC" w:rsidRPr="00EB7CBC" w:rsidRDefault="00EB7CBC" w:rsidP="00EB7CBC">
      <w:pPr>
        <w:pStyle w:val="Rubrik2"/>
      </w:pPr>
      <w:r>
        <w:t xml:space="preserve">Svenska Downföreningen </w:t>
      </w:r>
    </w:p>
    <w:p w14:paraId="231EFCAA" w14:textId="5D3E82E5" w:rsidR="00EB7CBC" w:rsidRPr="00EB7CBC" w:rsidRDefault="00EB7CBC" w:rsidP="00EB7CBC">
      <w:r w:rsidRPr="00EB7CBC">
        <w:t xml:space="preserve">Vi har inga konkreta exempel på kopplingen sjukförsäkring/sjukersättning och ideella uppdrag annat än en upplevd rädsla och en försiktighet med att åta sig uppdrag, och om man ändå gör det är man inte öppen med det i </w:t>
      </w:r>
      <w:r w:rsidR="00A47251" w:rsidRPr="00EB7CBC">
        <w:t>till exempel</w:t>
      </w:r>
      <w:r w:rsidRPr="00EB7CBC">
        <w:t xml:space="preserve"> sociala medier. Denna rädsla finns även för uppdrag som inte ger någon ekonomisk ersättning alls, så som styrelseledamot i liten lokal förening, medföljande vuxen på läger och liknande.</w:t>
      </w:r>
    </w:p>
    <w:p w14:paraId="1F0D20DA" w14:textId="77777777" w:rsidR="00C11666" w:rsidRDefault="00EB7CBC" w:rsidP="003C37F3">
      <w:r w:rsidRPr="00EB7CBC">
        <w:t>Däremot känner vi till exempel på föräldrar som får sin sjukpenning eller sjukersättning indragen p g a beslut om Omvårdnadsbidrag för ett barn. F</w:t>
      </w:r>
      <w:r w:rsidR="00A47251">
        <w:t>örsäkringskassan</w:t>
      </w:r>
      <w:r w:rsidRPr="00EB7CBC">
        <w:t xml:space="preserve"> menar då att om man tar hand om sitt barn med funktionsnedsättning så visar det på en arbetsförmåga, trots utförliga och tydliga läkarintyg på motsatsen. Det finns även exempel på personer som drabbas av detta trots att de kan visa att en annan person, </w:t>
      </w:r>
      <w:r w:rsidR="00A47251" w:rsidRPr="00EB7CBC">
        <w:t>till exempel</w:t>
      </w:r>
      <w:r w:rsidRPr="00EB7CBC">
        <w:t xml:space="preserve"> den andra vårdnadshavaren, mor/farförälder eller liknande, hjälper till med barnet under sjukdomsperioden. Även i dessa fall behövs tydligare riktlinjer.</w:t>
      </w:r>
    </w:p>
    <w:p w14:paraId="28D17AAB" w14:textId="77777777" w:rsidR="00C11666" w:rsidRDefault="00C11666" w:rsidP="003C37F3"/>
    <w:p w14:paraId="67A37704" w14:textId="77777777" w:rsidR="007D5F67" w:rsidRDefault="007D5F67" w:rsidP="003C37F3"/>
    <w:p w14:paraId="0519C825" w14:textId="77777777" w:rsidR="007D5F67" w:rsidRDefault="007D5F67" w:rsidP="003C37F3"/>
    <w:sectPr w:rsidR="007D5F67" w:rsidSect="00C8629E">
      <w:headerReference w:type="default" r:id="rId11"/>
      <w:footerReference w:type="default" r:id="rId12"/>
      <w:headerReference w:type="first" r:id="rId13"/>
      <w:footerReference w:type="first" r:id="rId14"/>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F11B" w14:textId="77777777" w:rsidR="00805CD6" w:rsidRDefault="00805CD6" w:rsidP="000A2BB1">
      <w:r>
        <w:separator/>
      </w:r>
    </w:p>
  </w:endnote>
  <w:endnote w:type="continuationSeparator" w:id="0">
    <w:p w14:paraId="6450201D" w14:textId="77777777" w:rsidR="00805CD6" w:rsidRDefault="00805CD6" w:rsidP="000A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6B54" w14:textId="77777777" w:rsidR="00737EE7" w:rsidRDefault="007D5F67" w:rsidP="00546D38">
    <w:pPr>
      <w:pStyle w:val="Sidfot"/>
      <w:tabs>
        <w:tab w:val="clear" w:pos="3686"/>
        <w:tab w:val="clear" w:pos="4536"/>
        <w:tab w:val="left" w:pos="5954"/>
      </w:tabs>
    </w:pPr>
    <w:r>
      <w:t xml:space="preserve">Skrivelsens </w:t>
    </w:r>
    <w:r w:rsidR="00546D38">
      <w:t>namn</w:t>
    </w:r>
    <w:r w:rsidR="00546D38">
      <w:tab/>
    </w:r>
    <w:r w:rsidR="00737EE7" w:rsidRPr="00915F5D">
      <w:t xml:space="preserve"> </w:t>
    </w:r>
    <w:sdt>
      <w:sdtPr>
        <w:id w:val="638309517"/>
        <w:docPartObj>
          <w:docPartGallery w:val="Page Numbers (Bottom of Page)"/>
          <w:docPartUnique/>
        </w:docPartObj>
      </w:sdtPr>
      <w:sdtEndPr/>
      <w:sdtContent>
        <w:sdt>
          <w:sdtPr>
            <w:id w:val="97552809"/>
            <w:docPartObj>
              <w:docPartGallery w:val="Page Numbers (Top of Page)"/>
              <w:docPartUnique/>
            </w:docPartObj>
          </w:sdtPr>
          <w:sdtEnd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9E53" w14:textId="77777777" w:rsidR="007D5F67" w:rsidRDefault="007D5F67">
    <w:pPr>
      <w:pStyle w:val="Sidfot"/>
      <w:jc w:val="right"/>
    </w:pPr>
  </w:p>
  <w:p w14:paraId="472AAE31" w14:textId="77777777" w:rsidR="007D5F67" w:rsidRPr="003C37F3" w:rsidRDefault="007D5F67" w:rsidP="007D5F67">
    <w:pPr>
      <w:pStyle w:val="Ingetavstnd"/>
    </w:pPr>
    <w:r w:rsidRPr="003C37F3">
      <w:rPr>
        <w:noProof/>
      </w:rPr>
      <mc:AlternateContent>
        <mc:Choice Requires="wps">
          <w:drawing>
            <wp:anchor distT="0" distB="0" distL="114300" distR="114300" simplePos="0" relativeHeight="251659264" behindDoc="0" locked="0" layoutInCell="1" allowOverlap="1" wp14:anchorId="0047C92B" wp14:editId="5CFD17E3">
              <wp:simplePos x="0" y="0"/>
              <wp:positionH relativeFrom="page">
                <wp:posOffset>0</wp:posOffset>
              </wp:positionH>
              <wp:positionV relativeFrom="paragraph">
                <wp:posOffset>-46355</wp:posOffset>
              </wp:positionV>
              <wp:extent cx="7562850" cy="635"/>
              <wp:effectExtent l="0" t="0" r="190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85D82" id="_x0000_t32" coordsize="21600,21600" o:spt="32" o:oned="t" path="m,l21600,21600e" filled="f">
              <v:path arrowok="t" fillok="f" o:connecttype="none"/>
              <o:lock v:ext="edit" shapetype="t"/>
            </v:shapetype>
            <v:shape id="AutoShape 3" o:spid="_x0000_s1026" type="#_x0000_t32" style="position:absolute;margin-left:0;margin-top:-3.65pt;width:595.5pt;height:.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Pr="003C37F3">
      <w:t>Funktionsrätt Sverige, Box 1386, 172 27 Sundbyberg</w:t>
    </w:r>
    <w:r w:rsidRPr="003C37F3">
      <w:br/>
      <w:t xml:space="preserve">Telefon 08 546 404 00.  </w:t>
    </w:r>
    <w:proofErr w:type="spellStart"/>
    <w:r w:rsidRPr="003C37F3">
      <w:t>Org</w:t>
    </w:r>
    <w:proofErr w:type="spellEnd"/>
    <w:r w:rsidRPr="003C37F3">
      <w:t xml:space="preserve"> nr </w:t>
    </w:r>
    <w:proofErr w:type="gramStart"/>
    <w:r w:rsidRPr="003C37F3">
      <w:t>802006-2108</w:t>
    </w:r>
    <w:proofErr w:type="gramEnd"/>
  </w:p>
  <w:p w14:paraId="4B69780C" w14:textId="77777777" w:rsidR="007D5F67" w:rsidRPr="003C37F3" w:rsidRDefault="005F629A" w:rsidP="007D5F67">
    <w:pPr>
      <w:pStyle w:val="Ingetavstnd"/>
    </w:pPr>
    <w:hyperlink r:id="rId1" w:history="1">
      <w:r w:rsidR="007D5F67" w:rsidRPr="003C37F3">
        <w:rPr>
          <w:rStyle w:val="Hyperlnk"/>
          <w:color w:val="auto"/>
          <w:u w:val="none"/>
        </w:rPr>
        <w:t>www.funktionsratt.se</w:t>
      </w:r>
    </w:hyperlink>
  </w:p>
  <w:p w14:paraId="282F53EE" w14:textId="77777777" w:rsidR="00C8629E" w:rsidRPr="003C37F3" w:rsidRDefault="00C8629E" w:rsidP="003C37F3">
    <w:pPr>
      <w:pStyle w:val="Ingetavst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EE35" w14:textId="77777777" w:rsidR="00805CD6" w:rsidRDefault="00805CD6" w:rsidP="000A2BB1">
      <w:r>
        <w:separator/>
      </w:r>
    </w:p>
  </w:footnote>
  <w:footnote w:type="continuationSeparator" w:id="0">
    <w:p w14:paraId="5CFFBBB1" w14:textId="77777777" w:rsidR="00805CD6" w:rsidRDefault="00805CD6" w:rsidP="000A2BB1">
      <w:r>
        <w:continuationSeparator/>
      </w:r>
    </w:p>
  </w:footnote>
  <w:footnote w:id="1">
    <w:p w14:paraId="7A8F9C66" w14:textId="0EA2D860" w:rsidR="00226BDC" w:rsidRDefault="002F0FC5">
      <w:pPr>
        <w:pStyle w:val="Fotnotstext"/>
      </w:pPr>
      <w:r>
        <w:rPr>
          <w:rStyle w:val="Fotnotsreferens"/>
        </w:rPr>
        <w:footnoteRef/>
      </w:r>
      <w:r>
        <w:t xml:space="preserve"> </w:t>
      </w:r>
      <w:hyperlink r:id="rId1" w:history="1">
        <w:r w:rsidR="00226BDC" w:rsidRPr="0057720A">
          <w:rPr>
            <w:rStyle w:val="Hyperlnk"/>
          </w:rPr>
          <w:t>https://www.mfd.se/contentassets/618e916cb7114ba4a4dca3acf46105d2/2016-21-demokratisk-delaktighet-psykisk-funktionsnedsattning.pdf</w:t>
        </w:r>
      </w:hyperlink>
    </w:p>
  </w:footnote>
  <w:footnote w:id="2">
    <w:p w14:paraId="4BED729A" w14:textId="05CF6111" w:rsidR="00AF52C3" w:rsidRDefault="00616931">
      <w:pPr>
        <w:pStyle w:val="Fotnotstext"/>
      </w:pPr>
      <w:r>
        <w:rPr>
          <w:rStyle w:val="Fotnotsreferens"/>
        </w:rPr>
        <w:footnoteRef/>
      </w:r>
      <w:r>
        <w:t xml:space="preserve"> </w:t>
      </w:r>
      <w:hyperlink r:id="rId2" w:history="1">
        <w:r w:rsidR="00AF52C3" w:rsidRPr="0057720A">
          <w:rPr>
            <w:rStyle w:val="Hyperlnk"/>
          </w:rPr>
          <w:t>https://www.regeringen.se/rattsliga-dokument/statens-offentliga-utredningar/2021/08/sou-202169/</w:t>
        </w:r>
      </w:hyperlink>
    </w:p>
  </w:footnote>
  <w:footnote w:id="3">
    <w:p w14:paraId="42B533B9" w14:textId="440B3208" w:rsidR="00A17668" w:rsidRDefault="00A17668">
      <w:pPr>
        <w:pStyle w:val="Fotnotstext"/>
      </w:pPr>
      <w:r>
        <w:rPr>
          <w:rStyle w:val="Fotnotsreferens"/>
        </w:rPr>
        <w:footnoteRef/>
      </w:r>
      <w:r>
        <w:t xml:space="preserve"> </w:t>
      </w:r>
      <w:r w:rsidRPr="00A17668">
        <w:t>Utrymmet motsvarar en åttondel av normal heltid.</w:t>
      </w:r>
    </w:p>
  </w:footnote>
  <w:footnote w:id="4">
    <w:p w14:paraId="2F3CE764" w14:textId="277DF345" w:rsidR="00AF67AB" w:rsidRDefault="00AF67AB">
      <w:pPr>
        <w:pStyle w:val="Fotnotstext"/>
      </w:pPr>
      <w:r>
        <w:rPr>
          <w:rStyle w:val="Fotnotsreferens"/>
        </w:rPr>
        <w:footnoteRef/>
      </w:r>
      <w:r>
        <w:t xml:space="preserve"> </w:t>
      </w:r>
      <w:hyperlink r:id="rId3" w:history="1">
        <w:r w:rsidR="00C11666" w:rsidRPr="0057720A">
          <w:rPr>
            <w:rStyle w:val="Hyperlnk"/>
          </w:rPr>
          <w:t>https://www.forsakringskassan.se/download/18.7fc616c01814e179a9f6e8/1671789206485/sjukersattning-vagledning-2013-1.pdf</w:t>
        </w:r>
      </w:hyperlink>
    </w:p>
    <w:p w14:paraId="1A63DD09" w14:textId="77777777" w:rsidR="00C11666" w:rsidRDefault="00C11666">
      <w:pPr>
        <w:pStyle w:val="Fotnotstext"/>
      </w:pPr>
    </w:p>
  </w:footnote>
  <w:footnote w:id="5">
    <w:p w14:paraId="17012644" w14:textId="5DE6CD82" w:rsidR="00262746" w:rsidRDefault="00CA7192">
      <w:pPr>
        <w:pStyle w:val="Fotnotstext"/>
      </w:pPr>
      <w:r>
        <w:rPr>
          <w:rStyle w:val="Fotnotsreferens"/>
        </w:rPr>
        <w:footnoteRef/>
      </w:r>
      <w:r>
        <w:t xml:space="preserve"> </w:t>
      </w:r>
      <w:hyperlink r:id="rId4" w:history="1">
        <w:r w:rsidR="00262746" w:rsidRPr="0057720A">
          <w:rPr>
            <w:rStyle w:val="Hyperlnk"/>
          </w:rPr>
          <w:t>https://www.altinget.se/civilsamhalle/artikel/begransa-inte-mojligheten-att-engagera-sig-ideellt</w:t>
        </w:r>
      </w:hyperlink>
    </w:p>
  </w:footnote>
  <w:footnote w:id="6">
    <w:p w14:paraId="3008CDF2" w14:textId="77777777" w:rsidR="00286F6E" w:rsidRDefault="00286F6E" w:rsidP="00286F6E">
      <w:pPr>
        <w:pStyle w:val="Fotnotstext"/>
      </w:pPr>
      <w:r>
        <w:rPr>
          <w:rStyle w:val="Fotnotsreferens"/>
        </w:rPr>
        <w:footnoteRef/>
      </w:r>
      <w:r>
        <w:t xml:space="preserve"> </w:t>
      </w:r>
      <w:hyperlink r:id="rId5" w:history="1">
        <w:r w:rsidRPr="0057720A">
          <w:rPr>
            <w:rStyle w:val="Hyperlnk"/>
          </w:rPr>
          <w:t>https://funktionsratt.se/wp-content/uploads/2020/09/Svar-pa-fragor_Funktionsratt-Sverige-200917-1.pdf</w:t>
        </w:r>
      </w:hyperlink>
    </w:p>
    <w:p w14:paraId="5CD199AD" w14:textId="77777777" w:rsidR="00286F6E" w:rsidRDefault="00286F6E" w:rsidP="00286F6E">
      <w:pPr>
        <w:pStyle w:val="Fotnotstext"/>
      </w:pPr>
    </w:p>
  </w:footnote>
  <w:footnote w:id="7">
    <w:p w14:paraId="449F0A92" w14:textId="77777777" w:rsidR="00FE2963" w:rsidRDefault="00FE2963" w:rsidP="00FE2963">
      <w:pPr>
        <w:pStyle w:val="Fotnotstext"/>
      </w:pPr>
      <w:r>
        <w:rPr>
          <w:rStyle w:val="Fotnotsreferens"/>
        </w:rPr>
        <w:footnoteRef/>
      </w:r>
      <w:r>
        <w:t xml:space="preserve"> </w:t>
      </w:r>
      <w:r w:rsidRPr="00F807FC">
        <w:t>https://www.altinget.se/civilsamhalle/artikel/begransa-inte-mojligheten-att-engagera-sig-ideellt</w:t>
      </w:r>
    </w:p>
  </w:footnote>
  <w:footnote w:id="8">
    <w:p w14:paraId="26D20133" w14:textId="6AE4F55C" w:rsidR="00F53E92" w:rsidRDefault="00F53E92">
      <w:pPr>
        <w:pStyle w:val="Fotnotstext"/>
      </w:pPr>
      <w:r>
        <w:rPr>
          <w:rStyle w:val="Fotnotsreferens"/>
        </w:rPr>
        <w:footnoteRef/>
      </w:r>
      <w:r>
        <w:t xml:space="preserve"> Reumatikerförbundet har i en nyligen publicerad debattartikel lyft detta problem, se </w:t>
      </w:r>
      <w:hyperlink r:id="rId6" w:history="1">
        <w:r w:rsidRPr="0057720A">
          <w:rPr>
            <w:rStyle w:val="Hyperlnk"/>
          </w:rPr>
          <w:t>https://www.arbetarbladet.se/2023-02-02/nivan-pa-sjuk--och-</w:t>
        </w:r>
        <w:proofErr w:type="spellStart"/>
        <w:r w:rsidRPr="0057720A">
          <w:rPr>
            <w:rStyle w:val="Hyperlnk"/>
          </w:rPr>
          <w:t>aktivitetsersattningen</w:t>
        </w:r>
        <w:proofErr w:type="spellEnd"/>
        <w:r w:rsidRPr="0057720A">
          <w:rPr>
            <w:rStyle w:val="Hyperlnk"/>
          </w:rPr>
          <w:t>-</w:t>
        </w:r>
        <w:proofErr w:type="spellStart"/>
        <w:r w:rsidRPr="0057720A">
          <w:rPr>
            <w:rStyle w:val="Hyperlnk"/>
          </w:rPr>
          <w:t>maste</w:t>
        </w:r>
        <w:proofErr w:type="spellEnd"/>
        <w:r w:rsidRPr="0057720A">
          <w:rPr>
            <w:rStyle w:val="Hyperlnk"/>
          </w:rPr>
          <w:t>-upp</w:t>
        </w:r>
      </w:hyperlink>
    </w:p>
    <w:p w14:paraId="3675CC95" w14:textId="77777777" w:rsidR="00F53E92" w:rsidRDefault="00F53E92">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8751" w14:textId="77777777" w:rsidR="005F150D" w:rsidRDefault="005F150D" w:rsidP="000A2BB1">
    <w:pPr>
      <w:pStyle w:val="Sidhuvud"/>
    </w:pPr>
  </w:p>
  <w:p w14:paraId="425802B8" w14:textId="77777777" w:rsidR="00353245" w:rsidRDefault="00353245" w:rsidP="000A2BB1">
    <w:pPr>
      <w:pStyle w:val="Sidhuvud"/>
    </w:pPr>
  </w:p>
  <w:p w14:paraId="456D33F2" w14:textId="77777777" w:rsidR="00353245" w:rsidRDefault="00353245" w:rsidP="000A2BB1">
    <w:pPr>
      <w:pStyle w:val="Sidhuvud"/>
    </w:pPr>
  </w:p>
  <w:p w14:paraId="096EA25C" w14:textId="77777777" w:rsidR="00912654" w:rsidRDefault="00912654" w:rsidP="000A2BB1">
    <w:pPr>
      <w:pStyle w:val="Sidhuvud"/>
    </w:pPr>
  </w:p>
  <w:p w14:paraId="745755EC" w14:textId="77777777" w:rsidR="00912654" w:rsidRDefault="00912654" w:rsidP="000A2BB1">
    <w:pPr>
      <w:pStyle w:val="Sidhuvud"/>
    </w:pPr>
  </w:p>
  <w:p w14:paraId="558828E8"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3A5C" w14:textId="77777777" w:rsidR="00C8629E" w:rsidRDefault="00C8629E" w:rsidP="000A2BB1">
    <w:pPr>
      <w:pStyle w:val="Sidhuvud"/>
    </w:pPr>
  </w:p>
  <w:p w14:paraId="33067A12" w14:textId="77777777" w:rsidR="00C8629E" w:rsidRDefault="00C8629E" w:rsidP="000A2BB1">
    <w:pPr>
      <w:pStyle w:val="Sidhuvud"/>
    </w:pPr>
  </w:p>
  <w:p w14:paraId="1A85C32F" w14:textId="77777777" w:rsidR="00C8629E" w:rsidRDefault="00A656EA" w:rsidP="001404A9">
    <w:pPr>
      <w:pStyle w:val="Sidhuvud"/>
      <w:jc w:val="center"/>
    </w:pPr>
    <w:r w:rsidRPr="00A656EA">
      <w:rPr>
        <w:noProof/>
      </w:rPr>
      <w:drawing>
        <wp:inline distT="0" distB="0" distL="0" distR="0" wp14:anchorId="6C2D2565" wp14:editId="1B009459">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189DA6DC"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58E"/>
    <w:multiLevelType w:val="multilevel"/>
    <w:tmpl w:val="7E9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83DCA"/>
    <w:multiLevelType w:val="hybridMultilevel"/>
    <w:tmpl w:val="ECC4E4C8"/>
    <w:lvl w:ilvl="0" w:tplc="74B0100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7054881">
    <w:abstractNumId w:val="1"/>
  </w:num>
  <w:num w:numId="2" w16cid:durableId="726875241">
    <w:abstractNumId w:val="0"/>
  </w:num>
  <w:num w:numId="3" w16cid:durableId="65831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63"/>
    <w:rsid w:val="00005D32"/>
    <w:rsid w:val="0001440C"/>
    <w:rsid w:val="0002481F"/>
    <w:rsid w:val="00031B59"/>
    <w:rsid w:val="0006138E"/>
    <w:rsid w:val="00083645"/>
    <w:rsid w:val="000A2BB1"/>
    <w:rsid w:val="000D07EF"/>
    <w:rsid w:val="000E5C74"/>
    <w:rsid w:val="001404A9"/>
    <w:rsid w:val="00154CDD"/>
    <w:rsid w:val="00166324"/>
    <w:rsid w:val="00184690"/>
    <w:rsid w:val="001867BB"/>
    <w:rsid w:val="001A71A4"/>
    <w:rsid w:val="001D0711"/>
    <w:rsid w:val="001D239D"/>
    <w:rsid w:val="001D3E49"/>
    <w:rsid w:val="001D403C"/>
    <w:rsid w:val="001F17B0"/>
    <w:rsid w:val="001F40DA"/>
    <w:rsid w:val="001F4AF0"/>
    <w:rsid w:val="00226BDC"/>
    <w:rsid w:val="00234540"/>
    <w:rsid w:val="0024109D"/>
    <w:rsid w:val="00262746"/>
    <w:rsid w:val="00262DA0"/>
    <w:rsid w:val="00286F6E"/>
    <w:rsid w:val="002945E0"/>
    <w:rsid w:val="002B6877"/>
    <w:rsid w:val="002C2F24"/>
    <w:rsid w:val="002D6F91"/>
    <w:rsid w:val="002E3FAF"/>
    <w:rsid w:val="002E7EBC"/>
    <w:rsid w:val="002F0FC5"/>
    <w:rsid w:val="00331038"/>
    <w:rsid w:val="00340F58"/>
    <w:rsid w:val="00350348"/>
    <w:rsid w:val="00353245"/>
    <w:rsid w:val="00354669"/>
    <w:rsid w:val="00362077"/>
    <w:rsid w:val="003623A4"/>
    <w:rsid w:val="00366719"/>
    <w:rsid w:val="003C08AC"/>
    <w:rsid w:val="003C37F3"/>
    <w:rsid w:val="003F1D75"/>
    <w:rsid w:val="0041600D"/>
    <w:rsid w:val="00416C25"/>
    <w:rsid w:val="00427E82"/>
    <w:rsid w:val="004718C6"/>
    <w:rsid w:val="00484385"/>
    <w:rsid w:val="004C2104"/>
    <w:rsid w:val="004E0EDE"/>
    <w:rsid w:val="004E2DFC"/>
    <w:rsid w:val="00536B54"/>
    <w:rsid w:val="00546D38"/>
    <w:rsid w:val="005479E0"/>
    <w:rsid w:val="005A71D3"/>
    <w:rsid w:val="005D2EFF"/>
    <w:rsid w:val="005E7702"/>
    <w:rsid w:val="005F150D"/>
    <w:rsid w:val="005F629A"/>
    <w:rsid w:val="006132C9"/>
    <w:rsid w:val="00616931"/>
    <w:rsid w:val="006431DF"/>
    <w:rsid w:val="006539B3"/>
    <w:rsid w:val="006671EE"/>
    <w:rsid w:val="006849E8"/>
    <w:rsid w:val="006B4CF2"/>
    <w:rsid w:val="006B719A"/>
    <w:rsid w:val="006C0497"/>
    <w:rsid w:val="006C6EBD"/>
    <w:rsid w:val="0070169F"/>
    <w:rsid w:val="00732E80"/>
    <w:rsid w:val="0073344D"/>
    <w:rsid w:val="00737EE7"/>
    <w:rsid w:val="007620FA"/>
    <w:rsid w:val="0076610D"/>
    <w:rsid w:val="007D2FED"/>
    <w:rsid w:val="007D322B"/>
    <w:rsid w:val="007D5F67"/>
    <w:rsid w:val="007F5931"/>
    <w:rsid w:val="00805CD6"/>
    <w:rsid w:val="00822DDE"/>
    <w:rsid w:val="00885E83"/>
    <w:rsid w:val="00891288"/>
    <w:rsid w:val="008A0DAB"/>
    <w:rsid w:val="008B24EC"/>
    <w:rsid w:val="008C4C80"/>
    <w:rsid w:val="008C6B5E"/>
    <w:rsid w:val="008D5CBB"/>
    <w:rsid w:val="008E278C"/>
    <w:rsid w:val="008E738C"/>
    <w:rsid w:val="00912654"/>
    <w:rsid w:val="00915637"/>
    <w:rsid w:val="00915F5D"/>
    <w:rsid w:val="00917891"/>
    <w:rsid w:val="00920B4A"/>
    <w:rsid w:val="00952E47"/>
    <w:rsid w:val="00982F8A"/>
    <w:rsid w:val="00997D49"/>
    <w:rsid w:val="00A17668"/>
    <w:rsid w:val="00A4718C"/>
    <w:rsid w:val="00A47251"/>
    <w:rsid w:val="00A656EA"/>
    <w:rsid w:val="00A844B4"/>
    <w:rsid w:val="00A906CE"/>
    <w:rsid w:val="00AB53FE"/>
    <w:rsid w:val="00AD3158"/>
    <w:rsid w:val="00AF0AC8"/>
    <w:rsid w:val="00AF52C3"/>
    <w:rsid w:val="00AF67AB"/>
    <w:rsid w:val="00BA627C"/>
    <w:rsid w:val="00BC4393"/>
    <w:rsid w:val="00BD224C"/>
    <w:rsid w:val="00BD286E"/>
    <w:rsid w:val="00BD670A"/>
    <w:rsid w:val="00C00BBA"/>
    <w:rsid w:val="00C11666"/>
    <w:rsid w:val="00C208A8"/>
    <w:rsid w:val="00C52F04"/>
    <w:rsid w:val="00C65C9C"/>
    <w:rsid w:val="00C8629E"/>
    <w:rsid w:val="00C9473D"/>
    <w:rsid w:val="00CA7192"/>
    <w:rsid w:val="00CB2268"/>
    <w:rsid w:val="00CC1AC1"/>
    <w:rsid w:val="00CF2CD4"/>
    <w:rsid w:val="00D15B24"/>
    <w:rsid w:val="00D57D66"/>
    <w:rsid w:val="00D63E94"/>
    <w:rsid w:val="00D805BA"/>
    <w:rsid w:val="00D835C1"/>
    <w:rsid w:val="00DC5029"/>
    <w:rsid w:val="00DE0969"/>
    <w:rsid w:val="00DE58F7"/>
    <w:rsid w:val="00DF37B0"/>
    <w:rsid w:val="00E02125"/>
    <w:rsid w:val="00E138BD"/>
    <w:rsid w:val="00E15F78"/>
    <w:rsid w:val="00E21561"/>
    <w:rsid w:val="00E32EA2"/>
    <w:rsid w:val="00E36996"/>
    <w:rsid w:val="00E45B20"/>
    <w:rsid w:val="00E502CE"/>
    <w:rsid w:val="00E5621D"/>
    <w:rsid w:val="00E57F5B"/>
    <w:rsid w:val="00E61B2A"/>
    <w:rsid w:val="00E63036"/>
    <w:rsid w:val="00E671AB"/>
    <w:rsid w:val="00E82BAA"/>
    <w:rsid w:val="00E8453E"/>
    <w:rsid w:val="00E85D18"/>
    <w:rsid w:val="00E95C45"/>
    <w:rsid w:val="00EB7CBC"/>
    <w:rsid w:val="00EC032C"/>
    <w:rsid w:val="00EC67E3"/>
    <w:rsid w:val="00ED220C"/>
    <w:rsid w:val="00ED3ABF"/>
    <w:rsid w:val="00F11FA3"/>
    <w:rsid w:val="00F33412"/>
    <w:rsid w:val="00F47328"/>
    <w:rsid w:val="00F53E92"/>
    <w:rsid w:val="00F709D5"/>
    <w:rsid w:val="00F8640F"/>
    <w:rsid w:val="00F9013D"/>
    <w:rsid w:val="00FD0271"/>
    <w:rsid w:val="00FE2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F9A74"/>
  <w15:docId w15:val="{F0857C93-7C6C-4929-8DD4-DEFF1146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Fotnotstext">
    <w:name w:val="footnote text"/>
    <w:basedOn w:val="Normal"/>
    <w:link w:val="FotnotstextChar"/>
    <w:uiPriority w:val="99"/>
    <w:semiHidden/>
    <w:unhideWhenUsed/>
    <w:rsid w:val="00FE2963"/>
    <w:pPr>
      <w:tabs>
        <w:tab w:val="clear" w:pos="3686"/>
        <w:tab w:val="clear" w:pos="4536"/>
      </w:tabs>
    </w:pPr>
    <w:rPr>
      <w:rFonts w:ascii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FE2963"/>
    <w:rPr>
      <w:sz w:val="20"/>
      <w:szCs w:val="20"/>
    </w:rPr>
  </w:style>
  <w:style w:type="character" w:styleId="Fotnotsreferens">
    <w:name w:val="footnote reference"/>
    <w:basedOn w:val="Standardstycketeckensnitt"/>
    <w:uiPriority w:val="99"/>
    <w:semiHidden/>
    <w:unhideWhenUsed/>
    <w:rsid w:val="00FE2963"/>
    <w:rPr>
      <w:vertAlign w:val="superscript"/>
    </w:rPr>
  </w:style>
  <w:style w:type="paragraph" w:styleId="Liststycke">
    <w:name w:val="List Paragraph"/>
    <w:basedOn w:val="Normal"/>
    <w:uiPriority w:val="34"/>
    <w:qFormat/>
    <w:rsid w:val="007D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542642089">
      <w:bodyDiv w:val="1"/>
      <w:marLeft w:val="0"/>
      <w:marRight w:val="0"/>
      <w:marTop w:val="0"/>
      <w:marBottom w:val="0"/>
      <w:divBdr>
        <w:top w:val="none" w:sz="0" w:space="0" w:color="auto"/>
        <w:left w:val="none" w:sz="0" w:space="0" w:color="auto"/>
        <w:bottom w:val="none" w:sz="0" w:space="0" w:color="auto"/>
        <w:right w:val="none" w:sz="0" w:space="0" w:color="auto"/>
      </w:divBdr>
    </w:div>
    <w:div w:id="12388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orsakringskassan.se/download/18.7fc616c01814e179a9f6e8/1671789206485/sjukersattning-vagledning-2013-1.pdf" TargetMode="External"/><Relationship Id="rId2" Type="http://schemas.openxmlformats.org/officeDocument/2006/relationships/hyperlink" Target="https://www.regeringen.se/rattsliga-dokument/statens-offentliga-utredningar/2021/08/sou-202169/" TargetMode="External"/><Relationship Id="rId1" Type="http://schemas.openxmlformats.org/officeDocument/2006/relationships/hyperlink" Target="https://www.mfd.se/contentassets/618e916cb7114ba4a4dca3acf46105d2/2016-21-demokratisk-delaktighet-psykisk-funktionsnedsattning.pdf" TargetMode="External"/><Relationship Id="rId6" Type="http://schemas.openxmlformats.org/officeDocument/2006/relationships/hyperlink" Target="https://www.arbetarbladet.se/2023-02-02/nivan-pa-sjuk--och-aktivitetsersattningen-maste-upp" TargetMode="External"/><Relationship Id="rId5" Type="http://schemas.openxmlformats.org/officeDocument/2006/relationships/hyperlink" Target="https://funktionsratt.se/wp-content/uploads/2020/09/Svar-pa-fragor_Funktionsratt-Sverige-200917-1.pdf" TargetMode="External"/><Relationship Id="rId4" Type="http://schemas.openxmlformats.org/officeDocument/2006/relationships/hyperlink" Target="https://www.altinget.se/civilsamhalle/artikel/begransa-inte-mojligheten-att-engagera-sig-ideel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caNilsson\Funktionsr&#228;tt\Funktionsr&#228;tt%20Sverige%20-%20Ny%20Gemensam\Intressepolitik\Mallar%20remisser,%20skrivelser,%20brev\MALL%20Skrivel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2" ma:contentTypeDescription="Skapa ett nytt dokument." ma:contentTypeScope="" ma:versionID="23f486f37d8266ed3f7efc441703d78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0e661aeafae58b23cdb10fcf5f5aaec"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2.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 ds:uri="67d30642-fa2f-414a-9a18-777ac9862fba"/>
    <ds:schemaRef ds:uri="14caeeda-9214-4bf6-b317-d2ca0b25aa12"/>
  </ds:schemaRefs>
</ds:datastoreItem>
</file>

<file path=customXml/itemProps3.xml><?xml version="1.0" encoding="utf-8"?>
<ds:datastoreItem xmlns:ds="http://schemas.openxmlformats.org/officeDocument/2006/customXml" ds:itemID="{A812957E-CEE9-49F1-B1AA-D2D4A9C559E9}">
  <ds:schemaRefs>
    <ds:schemaRef ds:uri="http://schemas.openxmlformats.org/officeDocument/2006/bibliography"/>
  </ds:schemaRefs>
</ds:datastoreItem>
</file>

<file path=customXml/itemProps4.xml><?xml version="1.0" encoding="utf-8"?>
<ds:datastoreItem xmlns:ds="http://schemas.openxmlformats.org/officeDocument/2006/customXml" ds:itemID="{21716D74-E7B6-4F5A-87C4-E6850F14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Skrivelse</Template>
  <TotalTime>0</TotalTime>
  <Pages>7</Pages>
  <Words>1888</Words>
  <Characters>11332</Characters>
  <Application>Microsoft Office Word</Application>
  <DocSecurity>4</DocSecurity>
  <Lines>283</Lines>
  <Paragraphs>56</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Nilsson</dc:creator>
  <cp:lastModifiedBy>Marre Ahlsen</cp:lastModifiedBy>
  <cp:revision>2</cp:revision>
  <cp:lastPrinted>2010-01-21T08:53:00Z</cp:lastPrinted>
  <dcterms:created xsi:type="dcterms:W3CDTF">2023-03-13T10:49:00Z</dcterms:created>
  <dcterms:modified xsi:type="dcterms:W3CDTF">2023-03-13T10:49:00Z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ies>
</file>