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BD60F7" w14:textId="6DF865AF" w:rsidR="002A35B5" w:rsidRPr="00156167" w:rsidRDefault="002A35B5" w:rsidP="00156167">
      <w:pPr>
        <w:tabs>
          <w:tab w:val="left" w:pos="6237"/>
        </w:tabs>
        <w:autoSpaceDE w:val="0"/>
        <w:autoSpaceDN w:val="0"/>
        <w:adjustRightInd w:val="0"/>
        <w:rPr>
          <w:rFonts w:eastAsia="MS Mincho" w:cs="Myriad Pro"/>
          <w:color w:val="000000"/>
          <w:lang w:val="en-US" w:eastAsia="sv-SE"/>
        </w:rPr>
      </w:pPr>
      <w:r w:rsidRPr="002A35B5">
        <w:rPr>
          <w:rFonts w:eastAsia="MS Mincho" w:cs="Myriad Pro"/>
          <w:noProof/>
          <w:color w:val="000000"/>
          <w:lang w:eastAsia="sv-SE"/>
        </w:rPr>
        <mc:AlternateContent>
          <mc:Choice Requires="wps">
            <w:drawing>
              <wp:anchor distT="0" distB="0" distL="114300" distR="114300" simplePos="0" relativeHeight="251660288" behindDoc="0" locked="0" layoutInCell="1" allowOverlap="1" wp14:anchorId="797AE28E" wp14:editId="481DF3E4">
                <wp:simplePos x="0" y="0"/>
                <wp:positionH relativeFrom="margin">
                  <wp:align>right</wp:align>
                </wp:positionH>
                <wp:positionV relativeFrom="paragraph">
                  <wp:posOffset>-779780</wp:posOffset>
                </wp:positionV>
                <wp:extent cx="838200" cy="754380"/>
                <wp:effectExtent l="0" t="0" r="19050" b="26670"/>
                <wp:wrapNone/>
                <wp:docPr id="19832924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38200" cy="754380"/>
                        </a:xfrm>
                        <a:prstGeom prst="rect">
                          <a:avLst/>
                        </a:prstGeom>
                        <a:solidFill>
                          <a:sysClr val="window" lastClr="FFFFFF"/>
                        </a:solidFill>
                        <a:ln w="6350">
                          <a:solidFill>
                            <a:prstClr val="black"/>
                          </a:solidFill>
                        </a:ln>
                      </wps:spPr>
                      <wps:txbx>
                        <w:txbxContent>
                          <w:p w14:paraId="468F67EB" w14:textId="311BC13C" w:rsidR="002A35B5" w:rsidRPr="00B60001" w:rsidRDefault="00DA6DD3" w:rsidP="002A35B5">
                            <w:pPr>
                              <w:rPr>
                                <w:b/>
                                <w:bCs/>
                                <w:sz w:val="72"/>
                                <w:szCs w:val="72"/>
                              </w:rPr>
                            </w:pPr>
                            <w:r>
                              <w:rPr>
                                <w:b/>
                                <w:bCs/>
                                <w:sz w:val="72"/>
                                <w:szCs w:val="72"/>
                              </w:rPr>
                              <w:t>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97AE28E" id="_x0000_t202" coordsize="21600,21600" o:spt="202" path="m,l,21600r21600,l21600,xe">
                <v:stroke joinstyle="miter"/>
                <v:path gradientshapeok="t" o:connecttype="rect"/>
              </v:shapetype>
              <v:shape id="Textruta 2" o:spid="_x0000_s1026" type="#_x0000_t202" style="position:absolute;margin-left:14.8pt;margin-top:-61.4pt;width:66pt;height:59.4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" fillcolor="window" strokeweight=".5pt">
                <v:path arrowok="t"/>
                <v:textbox>
                  <w:txbxContent>
                    <w:p w14:paraId="468F67EB" w14:textId="311BC13C" w:rsidR="002A35B5" w:rsidRPr="00B60001" w:rsidRDefault="00DA6DD3" w:rsidP="002A35B5">
                      <w:pPr>
                        <w:rPr>
                          <w:b/>
                          <w:bCs/>
                          <w:sz w:val="72"/>
                          <w:szCs w:val="72"/>
                        </w:rPr>
                      </w:pPr>
                      <w:r>
                        <w:rPr>
                          <w:b/>
                          <w:bCs/>
                          <w:sz w:val="72"/>
                          <w:szCs w:val="72"/>
                        </w:rPr>
                        <w:t>31</w:t>
                      </w:r>
                    </w:p>
                  </w:txbxContent>
                </v:textbox>
                <w10:wrap anchorx="margin"/>
              </v:shape>
            </w:pict>
          </mc:Fallback>
        </mc:AlternateContent>
      </w:r>
      <w:r w:rsidR="0084716B" w:rsidRPr="009B1F35">
        <w:rPr>
          <w:b/>
          <w:bCs/>
        </w:rPr>
        <w:t xml:space="preserve">Motion </w:t>
      </w:r>
      <w:r w:rsidR="009B1F35" w:rsidRPr="009B1F35">
        <w:rPr>
          <w:b/>
          <w:bCs/>
        </w:rPr>
        <w:t>11</w:t>
      </w:r>
      <w:r w:rsidR="0084716B" w:rsidRPr="009B1F35">
        <w:rPr>
          <w:b/>
          <w:bCs/>
        </w:rPr>
        <w:t xml:space="preserve"> till Funktionsrätt Sveriges kongress 2025</w:t>
      </w:r>
    </w:p>
    <w:p w14:paraId="125A53E8" w14:textId="59C26AA1" w:rsidR="007D7A96" w:rsidRPr="009B1F35" w:rsidRDefault="002A35B5" w:rsidP="009B1F35">
      <w:pPr>
        <w:pStyle w:val="Rubrik1"/>
        <w:rPr>
          <w:rFonts w:eastAsia="MS Mincho"/>
          <w:lang w:eastAsia="sv-SE"/>
        </w:rPr>
      </w:pPr>
      <w:r w:rsidRPr="005F6093">
        <w:rPr>
          <w:rFonts w:eastAsia="MS Mincho"/>
          <w:lang w:eastAsia="sv-SE"/>
        </w:rPr>
        <w:t>Strategi för att minska välfärdskriminalitet</w:t>
      </w:r>
      <w:r w:rsidR="00C47C61" w:rsidRPr="005F6093">
        <w:rPr>
          <w:rFonts w:eastAsia="MS Mincho"/>
          <w:lang w:eastAsia="sv-SE"/>
        </w:rPr>
        <w:t xml:space="preserve"> </w:t>
      </w:r>
    </w:p>
    <w:p w14:paraId="4B3DA811" w14:textId="6AC66282" w:rsidR="002A35B5" w:rsidRPr="005F6093" w:rsidRDefault="009B1F35" w:rsidP="002A35B5">
      <w:pPr>
        <w:tabs>
          <w:tab w:val="left" w:pos="6237"/>
        </w:tabs>
        <w:autoSpaceDE w:val="0"/>
        <w:autoSpaceDN w:val="0"/>
        <w:adjustRightInd w:val="0"/>
        <w:rPr>
          <w:rFonts w:eastAsia="MS Mincho" w:cs="Myriad Pro"/>
          <w:color w:val="000000"/>
          <w:lang w:eastAsia="sv-SE"/>
        </w:rPr>
      </w:pPr>
      <w:r>
        <w:rPr>
          <w:rFonts w:eastAsia="MS Mincho" w:cs="Myriad Pro"/>
          <w:color w:val="000000"/>
          <w:lang w:eastAsia="sv-SE"/>
        </w:rPr>
        <w:t>Avsändare:</w:t>
      </w:r>
      <w:r w:rsidR="00817E30">
        <w:rPr>
          <w:rFonts w:eastAsia="MS Mincho" w:cs="Myriad Pro"/>
          <w:color w:val="000000"/>
          <w:lang w:eastAsia="sv-SE"/>
        </w:rPr>
        <w:t xml:space="preserve"> </w:t>
      </w:r>
      <w:r w:rsidR="00C47C61" w:rsidRPr="005F6093">
        <w:rPr>
          <w:rFonts w:eastAsia="MS Mincho" w:cs="Myriad Pro"/>
          <w:color w:val="000000"/>
          <w:lang w:eastAsia="sv-SE"/>
        </w:rPr>
        <w:t>HjärtLung</w:t>
      </w:r>
    </w:p>
    <w:p w14:paraId="176560D5" w14:textId="77777777" w:rsidR="002A35B5" w:rsidRPr="005F6093" w:rsidRDefault="002A35B5" w:rsidP="002A35B5">
      <w:pPr>
        <w:tabs>
          <w:tab w:val="left" w:pos="6237"/>
        </w:tabs>
        <w:autoSpaceDE w:val="0"/>
        <w:autoSpaceDN w:val="0"/>
        <w:adjustRightInd w:val="0"/>
        <w:rPr>
          <w:rFonts w:eastAsia="MS Mincho" w:cs="Myriad Pro"/>
          <w:color w:val="000000"/>
          <w:lang w:eastAsia="sv-SE"/>
        </w:rPr>
      </w:pPr>
    </w:p>
    <w:p w14:paraId="274077E3" w14:textId="0146716D"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Välfärdsbrottslighet är ett hot mot demokratin, vår gemensamma välfärd och berör därmed oss alla. För att motverka detta måste alla i samhället aktivt bidra till att stärka det förebyggande arbetet mot välfärdsbrott och säkerställa att det finns en tydlig process för att hantera problem när de väl upptäcks. Välfärdsbrottslighet innebär att resurser som ska säkerställa hälsa, vård, omsorg och delaktighet för människor i behov i stället hamnar hos kriminella. Resurser som behövs för att stärka den offentligt finansierade välfärden. En välfärd som vi alla inom Funktionsrätt Sverige är beroende av och vill utveckla. </w:t>
      </w:r>
    </w:p>
    <w:p w14:paraId="6F441541"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p>
    <w:p w14:paraId="21F05DFE"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Det försvinner offentliga resurser till personer och verksamheter som inte har rätt till dessa, samtidigt som våra gemensamma medel göder den kriminella ekonomin till brottsliga ändamål. Tjänstepersoner och förtroendevalda utsätts för otillåten påverkan, vilket kan leda till en tystnadskultur. Välfärdskriminella drar sig heller inte för att utnyttja personer som är i en beroendeställning. </w:t>
      </w:r>
    </w:p>
    <w:p w14:paraId="1D52AB06"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p>
    <w:p w14:paraId="0777BF2E"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Regeringen bedömer att cirka 15–20 miljarder kronor betalas ut felaktigt från de statliga välfärdssystemen varje år. Det finns beklagligen ingen exakt uppskattning över hur stor välfärdsbrottsligheten är för kommuner och regioner, men vi nås nästan dagligen av rapporter om att kommuner och regioner agerat mot välfärdskriminella.</w:t>
      </w:r>
    </w:p>
    <w:p w14:paraId="17EDEB74"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p>
    <w:p w14:paraId="58BF2874" w14:textId="3415CD98" w:rsidR="005C5E10" w:rsidRPr="009B1F35"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Det behövs fler insatser för att allmänheten och vi som dagligen tar del av välfärden kan agera när misstanke uppstår, så som exempelvis visselblåsning eller andra enkla sätt att agera i samverkan med det offentliga för att minska välfärdskriminaliteten. </w:t>
      </w:r>
    </w:p>
    <w:p w14:paraId="1A01152D" w14:textId="77777777" w:rsidR="005C5E10" w:rsidRDefault="005C5E10" w:rsidP="002A35B5">
      <w:pPr>
        <w:tabs>
          <w:tab w:val="left" w:pos="6237"/>
        </w:tabs>
        <w:autoSpaceDE w:val="0"/>
        <w:autoSpaceDN w:val="0"/>
        <w:adjustRightInd w:val="0"/>
        <w:spacing w:line="276" w:lineRule="auto"/>
        <w:rPr>
          <w:rFonts w:eastAsia="MS Mincho" w:cs="Myriad Pro"/>
          <w:b/>
          <w:bCs/>
          <w:color w:val="000000"/>
          <w:lang w:eastAsia="sv-SE"/>
        </w:rPr>
      </w:pPr>
    </w:p>
    <w:p w14:paraId="4E06D8F5" w14:textId="387FCDA5" w:rsidR="002A35B5" w:rsidRPr="00817E30" w:rsidRDefault="002A35B5" w:rsidP="002A35B5">
      <w:pPr>
        <w:tabs>
          <w:tab w:val="left" w:pos="6237"/>
        </w:tabs>
        <w:autoSpaceDE w:val="0"/>
        <w:autoSpaceDN w:val="0"/>
        <w:adjustRightInd w:val="0"/>
        <w:spacing w:line="276" w:lineRule="auto"/>
        <w:rPr>
          <w:rFonts w:eastAsia="MS Mincho" w:cs="Myriad Pro"/>
          <w:b/>
          <w:bCs/>
          <w:color w:val="000000"/>
          <w:lang w:eastAsia="sv-SE"/>
        </w:rPr>
      </w:pPr>
      <w:r w:rsidRPr="00817E30">
        <w:rPr>
          <w:rFonts w:eastAsia="MS Mincho" w:cs="Myriad Pro"/>
          <w:b/>
          <w:bCs/>
          <w:color w:val="000000"/>
          <w:lang w:eastAsia="sv-SE"/>
        </w:rPr>
        <w:t xml:space="preserve">Yrkande: </w:t>
      </w:r>
    </w:p>
    <w:p w14:paraId="77BE0565" w14:textId="77777777" w:rsidR="002A35B5" w:rsidRPr="005F6093" w:rsidRDefault="002A35B5" w:rsidP="002A35B5">
      <w:pPr>
        <w:numPr>
          <w:ilvl w:val="0"/>
          <w:numId w:val="2"/>
        </w:num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Att Funktionsrätt Sverige tar fram en strategi för hur organisationen och medlemsorganisationerna kan agera i samverkan med det offentliga för att minska välfärdskriminaliteten. </w:t>
      </w:r>
    </w:p>
    <w:p w14:paraId="4FE1DE17"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p>
    <w:p w14:paraId="761DBE7D"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p>
    <w:p w14:paraId="6E21BC11"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Anders Åkesson  </w:t>
      </w:r>
    </w:p>
    <w:p w14:paraId="1F38BF5B" w14:textId="77777777" w:rsidR="002A35B5" w:rsidRPr="005F6093" w:rsidRDefault="002A35B5" w:rsidP="002A35B5">
      <w:pPr>
        <w:tabs>
          <w:tab w:val="left" w:pos="6237"/>
        </w:tabs>
        <w:autoSpaceDE w:val="0"/>
        <w:autoSpaceDN w:val="0"/>
        <w:adjustRightInd w:val="0"/>
        <w:spacing w:line="276" w:lineRule="auto"/>
        <w:rPr>
          <w:rFonts w:eastAsia="MS Mincho" w:cs="Myriad Pro"/>
          <w:color w:val="000000"/>
          <w:lang w:eastAsia="sv-SE"/>
        </w:rPr>
      </w:pPr>
      <w:r w:rsidRPr="005F6093">
        <w:rPr>
          <w:rFonts w:eastAsia="MS Mincho" w:cs="Myriad Pro"/>
          <w:color w:val="000000"/>
          <w:lang w:eastAsia="sv-SE"/>
        </w:rPr>
        <w:t xml:space="preserve">Förbundsordförande  </w:t>
      </w:r>
    </w:p>
    <w:p w14:paraId="4905E9F4" w14:textId="4AF8EB17" w:rsidR="00F05D2F" w:rsidRPr="005F6093" w:rsidRDefault="002A35B5" w:rsidP="005F6093">
      <w:pPr>
        <w:tabs>
          <w:tab w:val="left" w:pos="6237"/>
        </w:tabs>
        <w:autoSpaceDE w:val="0"/>
        <w:autoSpaceDN w:val="0"/>
        <w:adjustRightInd w:val="0"/>
        <w:spacing w:line="276" w:lineRule="auto"/>
        <w:rPr>
          <w:rFonts w:eastAsiaTheme="minorHAnsi" w:cs="Arial"/>
          <w:b/>
          <w:bCs/>
          <w:kern w:val="2"/>
          <w:lang w:eastAsia="en-US"/>
          <w14:ligatures w14:val="standardContextual"/>
        </w:rPr>
      </w:pPr>
      <w:r w:rsidRPr="005F6093">
        <w:rPr>
          <w:rFonts w:eastAsia="MS Mincho" w:cs="Myriad Pro"/>
          <w:color w:val="000000"/>
          <w:lang w:eastAsia="sv-SE"/>
        </w:rPr>
        <w:t>Riksförbundet HjärtLung</w:t>
      </w:r>
    </w:p>
    <w:p w14:paraId="51D2FD6C" w14:textId="77777777" w:rsidR="00D47139" w:rsidRPr="005F6093" w:rsidRDefault="00D47139" w:rsidP="00173213">
      <w:pPr>
        <w:spacing w:after="120"/>
        <w:rPr>
          <w:b/>
          <w:bCs/>
        </w:rPr>
      </w:pPr>
    </w:p>
    <w:p w14:paraId="7BFA07DB" w14:textId="13DEC73B" w:rsidR="00BC1900" w:rsidRPr="0069650B" w:rsidRDefault="00BC1900" w:rsidP="00BC1900">
      <w:pPr>
        <w:pStyle w:val="Rubrik2"/>
      </w:pPr>
      <w:r w:rsidRPr="0069650B">
        <w:t xml:space="preserve">Styrelsens svar på motion </w:t>
      </w:r>
      <w:r>
        <w:t>11</w:t>
      </w:r>
    </w:p>
    <w:p w14:paraId="420C4CF4" w14:textId="77777777" w:rsidR="00BC1900" w:rsidRPr="00B500EC" w:rsidRDefault="00BC1900" w:rsidP="00BC1900">
      <w:r w:rsidRPr="00477965">
        <w:rPr>
          <w:b/>
          <w:bCs/>
        </w:rPr>
        <w:t>Föredragande från styrelsen</w:t>
      </w:r>
      <w:r w:rsidRPr="00B500EC">
        <w:t xml:space="preserve">: </w:t>
      </w:r>
    </w:p>
    <w:p w14:paraId="05922B48" w14:textId="785A125D" w:rsidR="00F51C85" w:rsidRDefault="00BB156F" w:rsidP="00111A7C">
      <w:pPr>
        <w:spacing w:after="120" w:line="259" w:lineRule="auto"/>
        <w:rPr>
          <w:rFonts w:eastAsiaTheme="minorHAnsi" w:cs="Arial"/>
          <w:lang w:eastAsia="en-US"/>
        </w:rPr>
      </w:pPr>
      <w:r>
        <w:rPr>
          <w:rFonts w:eastAsiaTheme="minorHAnsi" w:cs="Arial"/>
          <w:lang w:eastAsia="en-US"/>
        </w:rPr>
        <w:t>Funktionsrätt Sverige delar motionärens oro för den ökande välfärdskriminaliteten. Det är oacceptabelt att betydande</w:t>
      </w:r>
      <w:r w:rsidR="00275AAD" w:rsidRPr="00111A7C">
        <w:rPr>
          <w:rFonts w:eastAsiaTheme="minorHAnsi" w:cs="Arial"/>
          <w:lang w:eastAsia="en-US"/>
        </w:rPr>
        <w:t xml:space="preserve"> summor </w:t>
      </w:r>
      <w:r w:rsidR="004845B5" w:rsidRPr="00111A7C">
        <w:rPr>
          <w:rFonts w:eastAsiaTheme="minorHAnsi" w:cs="Arial"/>
          <w:lang w:eastAsia="en-US"/>
        </w:rPr>
        <w:t xml:space="preserve">felaktigt </w:t>
      </w:r>
      <w:r>
        <w:rPr>
          <w:rFonts w:eastAsiaTheme="minorHAnsi" w:cs="Arial"/>
          <w:lang w:eastAsia="en-US"/>
        </w:rPr>
        <w:t xml:space="preserve">utbetalas </w:t>
      </w:r>
      <w:r w:rsidR="004845B5" w:rsidRPr="00111A7C">
        <w:rPr>
          <w:rFonts w:eastAsiaTheme="minorHAnsi" w:cs="Arial"/>
          <w:lang w:eastAsia="en-US"/>
        </w:rPr>
        <w:t>från statliga välfärdssystem</w:t>
      </w:r>
      <w:r w:rsidR="00A46C2D">
        <w:rPr>
          <w:rFonts w:eastAsiaTheme="minorHAnsi" w:cs="Arial"/>
          <w:lang w:eastAsia="en-US"/>
        </w:rPr>
        <w:t>.</w:t>
      </w:r>
      <w:r w:rsidR="004845B5" w:rsidRPr="00111A7C">
        <w:rPr>
          <w:rFonts w:eastAsiaTheme="minorHAnsi" w:cs="Arial"/>
          <w:lang w:eastAsia="en-US"/>
        </w:rPr>
        <w:t xml:space="preserve"> </w:t>
      </w:r>
      <w:r w:rsidR="00A46C2D">
        <w:rPr>
          <w:rFonts w:eastAsiaTheme="minorHAnsi" w:cs="Arial"/>
          <w:lang w:eastAsia="en-US"/>
        </w:rPr>
        <w:t xml:space="preserve">Dessa </w:t>
      </w:r>
      <w:r w:rsidR="004845B5" w:rsidRPr="00111A7C">
        <w:rPr>
          <w:rFonts w:eastAsiaTheme="minorHAnsi" w:cs="Arial"/>
          <w:lang w:eastAsia="en-US"/>
        </w:rPr>
        <w:t>system ska finnas för de som behöver</w:t>
      </w:r>
      <w:r w:rsidR="009B51BC">
        <w:rPr>
          <w:rFonts w:eastAsiaTheme="minorHAnsi" w:cs="Arial"/>
          <w:lang w:eastAsia="en-US"/>
        </w:rPr>
        <w:t xml:space="preserve"> och har rätt till dessa ersättningar och förmåner</w:t>
      </w:r>
      <w:r w:rsidR="004845B5" w:rsidRPr="00111A7C">
        <w:rPr>
          <w:rFonts w:eastAsiaTheme="minorHAnsi" w:cs="Arial"/>
          <w:lang w:eastAsia="en-US"/>
        </w:rPr>
        <w:t xml:space="preserve">, i en tillfällig situation eller långvarigt. </w:t>
      </w:r>
      <w:r w:rsidR="009B51BC">
        <w:rPr>
          <w:rFonts w:eastAsiaTheme="minorHAnsi" w:cs="Arial"/>
          <w:lang w:eastAsia="en-US"/>
        </w:rPr>
        <w:t xml:space="preserve">Missbruket </w:t>
      </w:r>
      <w:r w:rsidR="004845B5" w:rsidRPr="00111A7C">
        <w:rPr>
          <w:rFonts w:eastAsiaTheme="minorHAnsi" w:cs="Arial"/>
          <w:lang w:eastAsia="en-US"/>
        </w:rPr>
        <w:t>är kostsam</w:t>
      </w:r>
      <w:r w:rsidR="009B51BC">
        <w:rPr>
          <w:rFonts w:eastAsiaTheme="minorHAnsi" w:cs="Arial"/>
          <w:lang w:eastAsia="en-US"/>
        </w:rPr>
        <w:t>t</w:t>
      </w:r>
      <w:r w:rsidR="004845B5" w:rsidRPr="00111A7C">
        <w:rPr>
          <w:rFonts w:eastAsiaTheme="minorHAnsi" w:cs="Arial"/>
          <w:lang w:eastAsia="en-US"/>
        </w:rPr>
        <w:t xml:space="preserve"> för samhället och </w:t>
      </w:r>
      <w:r w:rsidR="009B51BC">
        <w:rPr>
          <w:rFonts w:eastAsiaTheme="minorHAnsi" w:cs="Arial"/>
          <w:lang w:eastAsia="en-US"/>
        </w:rPr>
        <w:t xml:space="preserve">urholkar </w:t>
      </w:r>
      <w:r w:rsidR="004845B5" w:rsidRPr="00111A7C">
        <w:rPr>
          <w:rFonts w:eastAsiaTheme="minorHAnsi" w:cs="Arial"/>
          <w:lang w:eastAsia="en-US"/>
        </w:rPr>
        <w:t xml:space="preserve">legitimiteten för det trygghetssystem som är helt avgörande för många i våra medlemsorganisationer. Att inte vidta åtgärder som kommer till rätta med missbruket gynnar inte vår målgrupp. </w:t>
      </w:r>
    </w:p>
    <w:p w14:paraId="2703C359" w14:textId="393CC257" w:rsidR="0069250B" w:rsidRDefault="0069250B" w:rsidP="00111A7C">
      <w:pPr>
        <w:spacing w:after="120" w:line="259" w:lineRule="auto"/>
        <w:rPr>
          <w:rFonts w:eastAsiaTheme="minorHAnsi" w:cs="Arial"/>
          <w:lang w:eastAsia="en-US"/>
        </w:rPr>
      </w:pPr>
      <w:r w:rsidRPr="0069250B">
        <w:rPr>
          <w:rFonts w:eastAsiaTheme="minorHAnsi" w:cs="Arial"/>
          <w:lang w:eastAsia="en-US"/>
        </w:rPr>
        <w:t xml:space="preserve">Samtidigt är det av yttersta vikt att balansera åtgärder mot välfärdskriminalitet med skyddet av rättigheterna för personer med funktionsnedsättning. I vårt remissvar på utredningen "Ett stärkt och samlat skydd av välfärdssystemen" (SOU 2023:52) betonade vi vikten av att inte kompromissa med välfärdssystemens grundläggande syfte. </w:t>
      </w:r>
      <w:r w:rsidR="00817EE5" w:rsidRPr="00111A7C">
        <w:rPr>
          <w:rFonts w:eastAsiaTheme="minorHAnsi" w:cs="Arial"/>
          <w:lang w:eastAsia="en-US"/>
        </w:rPr>
        <w:t xml:space="preserve">Redan idag </w:t>
      </w:r>
      <w:r w:rsidR="00817EE5">
        <w:rPr>
          <w:rFonts w:eastAsiaTheme="minorHAnsi" w:cs="Arial"/>
          <w:lang w:eastAsia="en-US"/>
        </w:rPr>
        <w:t xml:space="preserve">har </w:t>
      </w:r>
      <w:r w:rsidR="00817EE5" w:rsidRPr="00111A7C">
        <w:rPr>
          <w:rFonts w:eastAsiaTheme="minorHAnsi" w:cs="Arial"/>
          <w:lang w:eastAsia="en-US"/>
        </w:rPr>
        <w:t xml:space="preserve">många </w:t>
      </w:r>
      <w:r w:rsidR="00817EE5">
        <w:rPr>
          <w:rFonts w:eastAsiaTheme="minorHAnsi" w:cs="Arial"/>
          <w:lang w:eastAsia="en-US"/>
        </w:rPr>
        <w:t xml:space="preserve">som behöver </w:t>
      </w:r>
      <w:r w:rsidR="00817EE5" w:rsidRPr="00111A7C">
        <w:rPr>
          <w:rFonts w:eastAsiaTheme="minorHAnsi" w:cs="Arial"/>
          <w:lang w:eastAsia="en-US"/>
        </w:rPr>
        <w:t>insatser och stöd för att klara vardagen</w:t>
      </w:r>
      <w:r w:rsidR="00817EE5">
        <w:rPr>
          <w:rFonts w:eastAsiaTheme="minorHAnsi" w:cs="Arial"/>
          <w:lang w:eastAsia="en-US"/>
        </w:rPr>
        <w:t xml:space="preserve"> svårt att få stöd</w:t>
      </w:r>
      <w:r w:rsidR="00817EE5" w:rsidRPr="00111A7C">
        <w:rPr>
          <w:rFonts w:eastAsiaTheme="minorHAnsi" w:cs="Arial"/>
          <w:lang w:eastAsia="en-US"/>
        </w:rPr>
        <w:t xml:space="preserve">. </w:t>
      </w:r>
      <w:r w:rsidRPr="0069250B">
        <w:rPr>
          <w:rFonts w:eastAsiaTheme="minorHAnsi" w:cs="Arial"/>
          <w:lang w:eastAsia="en-US"/>
        </w:rPr>
        <w:t>Åtgärder för att bekämpa brott får inte leda till att behövande nekas nödvändigt stöd eller att deras mänskliga rättigheter kränks.</w:t>
      </w:r>
    </w:p>
    <w:p w14:paraId="29E199A5" w14:textId="6942DF69" w:rsidR="006E31B4" w:rsidRDefault="006E31B4" w:rsidP="00111A7C">
      <w:pPr>
        <w:spacing w:after="120" w:line="259" w:lineRule="auto"/>
        <w:rPr>
          <w:rFonts w:eastAsiaTheme="minorHAnsi" w:cs="Arial"/>
          <w:lang w:eastAsia="en-US"/>
        </w:rPr>
      </w:pPr>
      <w:r w:rsidRPr="00111A7C">
        <w:rPr>
          <w:rFonts w:eastAsiaTheme="minorHAnsi" w:cs="Arial"/>
          <w:lang w:eastAsia="en-US"/>
        </w:rPr>
        <w:t>Kontrollfunktioner och lösningar får inte tumma på den enskildes integritet och vi vänder oss också emot åtgärder som kan tolkas som en kollektiv bestraffning. Dessutom får inte oavsiktliga felaktigheter straffas på ett oproportionerligt sätt. Det är ofta svårt att göra rätt. Ökade uppgifter till myndigheterna får inte leda till ännu längre handläggningstider till stöd och insatser eller påverka den enskildes rätt till skyndsam tillgång till stöd.</w:t>
      </w:r>
    </w:p>
    <w:p w14:paraId="5A2B5937" w14:textId="77777777" w:rsidR="003309BA" w:rsidRDefault="00193EF3" w:rsidP="00111A7C">
      <w:pPr>
        <w:spacing w:after="120" w:line="259" w:lineRule="auto"/>
        <w:rPr>
          <w:rFonts w:eastAsiaTheme="minorHAnsi" w:cs="Arial"/>
          <w:lang w:eastAsia="en-US"/>
        </w:rPr>
      </w:pPr>
      <w:r w:rsidRPr="00193EF3">
        <w:rPr>
          <w:rFonts w:eastAsiaTheme="minorHAnsi" w:cs="Arial"/>
          <w:lang w:eastAsia="en-US"/>
        </w:rPr>
        <w:t>Statistik från 2023 visar en markant ökning av anmälda bidragsbrott, vilket understryker behovet av åtgärder. Ansvaret för att förebygga och motverka välfärdsbrott ligger primärt hos kommuner, regioner och myndigheter</w:t>
      </w:r>
      <w:r w:rsidR="003309BA">
        <w:rPr>
          <w:rFonts w:eastAsiaTheme="minorHAnsi" w:cs="Arial"/>
          <w:lang w:eastAsia="en-US"/>
        </w:rPr>
        <w:t>, se aktörer i bilaga</w:t>
      </w:r>
      <w:r w:rsidRPr="00193EF3">
        <w:rPr>
          <w:rFonts w:eastAsiaTheme="minorHAnsi" w:cs="Arial"/>
          <w:lang w:eastAsia="en-US"/>
        </w:rPr>
        <w:t>.</w:t>
      </w:r>
    </w:p>
    <w:p w14:paraId="042E945A" w14:textId="4C0A707E" w:rsidR="00193EF3" w:rsidRDefault="00193EF3" w:rsidP="00111A7C">
      <w:pPr>
        <w:spacing w:after="120" w:line="259" w:lineRule="auto"/>
        <w:rPr>
          <w:rFonts w:eastAsiaTheme="minorHAnsi" w:cs="Arial"/>
          <w:lang w:eastAsia="en-US"/>
        </w:rPr>
      </w:pPr>
      <w:r w:rsidRPr="00193EF3">
        <w:rPr>
          <w:rFonts w:eastAsiaTheme="minorHAnsi" w:cs="Arial"/>
          <w:lang w:eastAsia="en-US"/>
        </w:rPr>
        <w:t>Funktionsrätt Sverige kan bidra genom att:</w:t>
      </w:r>
    </w:p>
    <w:p w14:paraId="4C4A6019" w14:textId="30EA6028" w:rsidR="00193EF3" w:rsidRPr="00193EF3" w:rsidRDefault="00193EF3" w:rsidP="00193EF3">
      <w:pPr>
        <w:pStyle w:val="Liststycke"/>
        <w:numPr>
          <w:ilvl w:val="0"/>
          <w:numId w:val="3"/>
        </w:numPr>
        <w:spacing w:after="120" w:line="259" w:lineRule="auto"/>
        <w:rPr>
          <w:rFonts w:eastAsiaTheme="minorHAnsi" w:cs="Arial"/>
          <w:lang w:eastAsia="en-US"/>
        </w:rPr>
      </w:pPr>
      <w:r w:rsidRPr="00193EF3">
        <w:rPr>
          <w:rFonts w:eastAsiaTheme="minorHAnsi" w:cs="Arial"/>
          <w:lang w:eastAsia="en-US"/>
        </w:rPr>
        <w:t xml:space="preserve">Påtala behov och konsekvenser för våra målgrupper i samband med nya förslag och satsningar. </w:t>
      </w:r>
    </w:p>
    <w:p w14:paraId="5C556FA1" w14:textId="3F96FDA2" w:rsidR="00193EF3" w:rsidRPr="00193EF3" w:rsidRDefault="00193EF3" w:rsidP="00193EF3">
      <w:pPr>
        <w:pStyle w:val="Liststycke"/>
        <w:numPr>
          <w:ilvl w:val="0"/>
          <w:numId w:val="3"/>
        </w:numPr>
        <w:spacing w:after="120" w:line="259" w:lineRule="auto"/>
        <w:rPr>
          <w:rFonts w:eastAsiaTheme="minorHAnsi" w:cs="Arial"/>
          <w:lang w:eastAsia="en-US"/>
        </w:rPr>
      </w:pPr>
      <w:r>
        <w:rPr>
          <w:rFonts w:eastAsiaTheme="minorHAnsi" w:cs="Arial"/>
          <w:lang w:eastAsia="en-US"/>
        </w:rPr>
        <w:lastRenderedPageBreak/>
        <w:t xml:space="preserve">Vid </w:t>
      </w:r>
      <w:r w:rsidR="00744668">
        <w:rPr>
          <w:rFonts w:eastAsiaTheme="minorHAnsi" w:cs="Arial"/>
          <w:lang w:eastAsia="en-US"/>
        </w:rPr>
        <w:t>behov</w:t>
      </w:r>
      <w:r>
        <w:rPr>
          <w:rFonts w:eastAsiaTheme="minorHAnsi" w:cs="Arial"/>
          <w:lang w:eastAsia="en-US"/>
        </w:rPr>
        <w:t xml:space="preserve"> t</w:t>
      </w:r>
      <w:r w:rsidRPr="00193EF3">
        <w:rPr>
          <w:rFonts w:eastAsiaTheme="minorHAnsi" w:cs="Arial"/>
          <w:lang w:eastAsia="en-US"/>
        </w:rPr>
        <w:t>illhandahålla information</w:t>
      </w:r>
      <w:r w:rsidR="00744668">
        <w:rPr>
          <w:rFonts w:eastAsiaTheme="minorHAnsi" w:cs="Arial"/>
          <w:lang w:eastAsia="en-US"/>
        </w:rPr>
        <w:t>,</w:t>
      </w:r>
      <w:r w:rsidRPr="00193EF3">
        <w:rPr>
          <w:rFonts w:eastAsiaTheme="minorHAnsi" w:cs="Arial"/>
          <w:lang w:eastAsia="en-US"/>
        </w:rPr>
        <w:t xml:space="preserve"> vägledning</w:t>
      </w:r>
      <w:r w:rsidR="00744668">
        <w:rPr>
          <w:rFonts w:eastAsiaTheme="minorHAnsi" w:cs="Arial"/>
          <w:lang w:eastAsia="en-US"/>
        </w:rPr>
        <w:t xml:space="preserve"> och hänvisa till rätt aktör</w:t>
      </w:r>
      <w:r w:rsidRPr="00193EF3">
        <w:rPr>
          <w:rFonts w:eastAsiaTheme="minorHAnsi" w:cs="Arial"/>
          <w:lang w:eastAsia="en-US"/>
        </w:rPr>
        <w:t xml:space="preserve">. </w:t>
      </w:r>
    </w:p>
    <w:p w14:paraId="0FC779B2" w14:textId="25C37557" w:rsidR="00CD65E6" w:rsidRPr="009B1F35" w:rsidRDefault="00193EF3" w:rsidP="00111A7C">
      <w:pPr>
        <w:pStyle w:val="Liststycke"/>
        <w:numPr>
          <w:ilvl w:val="0"/>
          <w:numId w:val="3"/>
        </w:numPr>
        <w:spacing w:after="120" w:line="259" w:lineRule="auto"/>
        <w:rPr>
          <w:rFonts w:eastAsiaTheme="minorHAnsi" w:cs="Arial"/>
          <w:lang w:eastAsia="en-US"/>
        </w:rPr>
      </w:pPr>
      <w:r w:rsidRPr="00193EF3">
        <w:rPr>
          <w:rFonts w:eastAsiaTheme="minorHAnsi" w:cs="Arial"/>
          <w:lang w:eastAsia="en-US"/>
        </w:rPr>
        <w:t>Uppmuntra våra medlemmar att vid misstanke om brott anmäla detta till berörda myndigheter.</w:t>
      </w:r>
    </w:p>
    <w:p w14:paraId="7ADEA0C6" w14:textId="77777777" w:rsidR="005C5E10" w:rsidRDefault="005C5E10" w:rsidP="00111A7C">
      <w:pPr>
        <w:spacing w:after="120" w:line="259" w:lineRule="auto"/>
        <w:rPr>
          <w:rFonts w:eastAsiaTheme="minorHAnsi" w:cs="Arial"/>
          <w:b/>
          <w:bCs/>
          <w:lang w:eastAsia="en-US"/>
        </w:rPr>
      </w:pPr>
    </w:p>
    <w:tbl>
      <w:tblPr>
        <w:tblStyle w:val="Tabellrutnt"/>
        <w:tblW w:w="0" w:type="auto"/>
        <w:tblLook w:val="04A0" w:firstRow="1" w:lastRow="0" w:firstColumn="1" w:lastColumn="0" w:noHBand="0" w:noVBand="1"/>
      </w:tblPr>
      <w:tblGrid>
        <w:gridCol w:w="7354"/>
      </w:tblGrid>
      <w:tr w:rsidR="005C5E10" w14:paraId="7D31E6D0" w14:textId="77777777" w:rsidTr="005C5E10">
        <w:trPr>
          <w:trHeight w:val="1138"/>
        </w:trPr>
        <w:tc>
          <w:tcPr>
            <w:tcW w:w="7354" w:type="dxa"/>
          </w:tcPr>
          <w:p w14:paraId="388B0714" w14:textId="77777777" w:rsidR="005C5E10" w:rsidRDefault="005C5E10" w:rsidP="005C5E10">
            <w:pPr>
              <w:rPr>
                <w:b/>
                <w:bCs/>
              </w:rPr>
            </w:pPr>
            <w:r w:rsidRPr="002A2D29">
              <w:rPr>
                <w:b/>
                <w:bCs/>
              </w:rPr>
              <w:t>Funktionsrätt Sveriges styrelse föreslår kongressen besluta</w:t>
            </w:r>
          </w:p>
          <w:p w14:paraId="4A96513C" w14:textId="77777777" w:rsidR="005C5E10" w:rsidRPr="002A2D29" w:rsidRDefault="005C5E10" w:rsidP="005C5E10">
            <w:pPr>
              <w:rPr>
                <w:b/>
                <w:bCs/>
              </w:rPr>
            </w:pPr>
          </w:p>
          <w:p w14:paraId="50512ACA" w14:textId="77777777" w:rsidR="005C5E10" w:rsidRPr="00C71477" w:rsidRDefault="005C5E10" w:rsidP="005C5E10">
            <w:pPr>
              <w:spacing w:after="120" w:line="259" w:lineRule="auto"/>
              <w:rPr>
                <w:rFonts w:eastAsiaTheme="minorHAnsi" w:cs="Arial"/>
                <w:lang w:eastAsia="en-US"/>
              </w:rPr>
            </w:pPr>
            <w:r w:rsidRPr="00C71477">
              <w:rPr>
                <w:rFonts w:eastAsiaTheme="minorHAnsi" w:cs="Arial"/>
                <w:lang w:eastAsia="en-US"/>
              </w:rPr>
              <w:t>att motionen anses besvarad</w:t>
            </w:r>
          </w:p>
          <w:p w14:paraId="366FE1B0" w14:textId="77777777" w:rsidR="005C5E10" w:rsidRDefault="005C5E10" w:rsidP="00111A7C">
            <w:pPr>
              <w:spacing w:after="120" w:line="259" w:lineRule="auto"/>
              <w:rPr>
                <w:rFonts w:eastAsiaTheme="minorHAnsi" w:cs="Arial"/>
                <w:lang w:eastAsia="en-US"/>
              </w:rPr>
            </w:pPr>
          </w:p>
        </w:tc>
      </w:tr>
    </w:tbl>
    <w:p w14:paraId="32DD1970" w14:textId="77777777" w:rsidR="0084761B" w:rsidRPr="0092637F" w:rsidRDefault="0084761B" w:rsidP="00111A7C">
      <w:pPr>
        <w:spacing w:after="120" w:line="259" w:lineRule="auto"/>
        <w:rPr>
          <w:rFonts w:eastAsiaTheme="minorHAnsi" w:cs="Arial"/>
          <w:strike/>
          <w:color w:val="FF0000"/>
          <w:lang w:eastAsia="en-US"/>
        </w:rPr>
      </w:pPr>
    </w:p>
    <w:sectPr w:rsidR="0084761B" w:rsidRPr="0092637F" w:rsidSect="009B1F35">
      <w:headerReference w:type="default" r:id="rId11"/>
      <w:footerReference w:type="default" r:id="rId12"/>
      <w:pgSz w:w="11900" w:h="16840"/>
      <w:pgMar w:top="1418" w:right="2268" w:bottom="1418" w:left="2268" w:header="0" w:footer="708" w:gutter="0"/>
      <w:lnNumType w:countBy="1" w:restart="continuous"/>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64C148" w14:textId="77777777" w:rsidR="00C575EA" w:rsidRDefault="00C575EA" w:rsidP="00FD7FE0">
      <w:r>
        <w:separator/>
      </w:r>
    </w:p>
  </w:endnote>
  <w:endnote w:type="continuationSeparator" w:id="0">
    <w:p w14:paraId="663A29C9" w14:textId="77777777" w:rsidR="00C575EA" w:rsidRDefault="00C575EA" w:rsidP="00FD7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Lucida Grande">
    <w:altName w:val="Segoe UI"/>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1413488"/>
      <w:docPartObj>
        <w:docPartGallery w:val="Page Numbers (Bottom of Page)"/>
        <w:docPartUnique/>
      </w:docPartObj>
    </w:sdtPr>
    <w:sdtEndPr/>
    <w:sdtContent>
      <w:sdt>
        <w:sdtPr>
          <w:id w:val="-1769616900"/>
          <w:docPartObj>
            <w:docPartGallery w:val="Page Numbers (Top of Page)"/>
            <w:docPartUnique/>
          </w:docPartObj>
        </w:sdtPr>
        <w:sdtEndPr/>
        <w:sdtContent>
          <w:p w14:paraId="7FC72DCD" w14:textId="77F3548A" w:rsidR="005C5E10" w:rsidRDefault="005C5E10">
            <w:pPr>
              <w:pStyle w:val="Sidfot"/>
              <w:jc w:val="right"/>
            </w:pPr>
            <w:r w:rsidRPr="005C5E10">
              <w:rPr>
                <w:sz w:val="24"/>
                <w:lang w:val="sv-SE"/>
              </w:rPr>
              <w:t xml:space="preserve">Sida </w:t>
            </w:r>
            <w:r w:rsidRPr="005C5E10">
              <w:rPr>
                <w:b/>
                <w:bCs/>
                <w:sz w:val="24"/>
              </w:rPr>
              <w:fldChar w:fldCharType="begin"/>
            </w:r>
            <w:r w:rsidRPr="005C5E10">
              <w:rPr>
                <w:b/>
                <w:bCs/>
                <w:sz w:val="24"/>
              </w:rPr>
              <w:instrText>PAGE</w:instrText>
            </w:r>
            <w:r w:rsidRPr="005C5E10">
              <w:rPr>
                <w:b/>
                <w:bCs/>
                <w:sz w:val="24"/>
              </w:rPr>
              <w:fldChar w:fldCharType="separate"/>
            </w:r>
            <w:r w:rsidRPr="005C5E10">
              <w:rPr>
                <w:b/>
                <w:bCs/>
                <w:sz w:val="24"/>
                <w:lang w:val="sv-SE"/>
              </w:rPr>
              <w:t>2</w:t>
            </w:r>
            <w:r w:rsidRPr="005C5E10">
              <w:rPr>
                <w:b/>
                <w:bCs/>
                <w:sz w:val="24"/>
              </w:rPr>
              <w:fldChar w:fldCharType="end"/>
            </w:r>
            <w:r w:rsidRPr="005C5E10">
              <w:rPr>
                <w:sz w:val="24"/>
                <w:lang w:val="sv-SE"/>
              </w:rPr>
              <w:t xml:space="preserve"> av </w:t>
            </w:r>
            <w:r w:rsidRPr="005C5E10">
              <w:rPr>
                <w:b/>
                <w:bCs/>
                <w:sz w:val="24"/>
              </w:rPr>
              <w:fldChar w:fldCharType="begin"/>
            </w:r>
            <w:r w:rsidRPr="005C5E10">
              <w:rPr>
                <w:b/>
                <w:bCs/>
                <w:sz w:val="24"/>
              </w:rPr>
              <w:instrText>NUMPAGES</w:instrText>
            </w:r>
            <w:r w:rsidRPr="005C5E10">
              <w:rPr>
                <w:b/>
                <w:bCs/>
                <w:sz w:val="24"/>
              </w:rPr>
              <w:fldChar w:fldCharType="separate"/>
            </w:r>
            <w:r w:rsidRPr="005C5E10">
              <w:rPr>
                <w:b/>
                <w:bCs/>
                <w:sz w:val="24"/>
                <w:lang w:val="sv-SE"/>
              </w:rPr>
              <w:t>2</w:t>
            </w:r>
            <w:r w:rsidRPr="005C5E10">
              <w:rPr>
                <w:b/>
                <w:bCs/>
                <w:sz w:val="24"/>
              </w:rPr>
              <w:fldChar w:fldCharType="end"/>
            </w:r>
          </w:p>
        </w:sdtContent>
      </w:sdt>
    </w:sdtContent>
  </w:sdt>
  <w:p w14:paraId="0AAC6C89" w14:textId="77777777" w:rsidR="005C5E10" w:rsidRDefault="005C5E1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B4DC7" w14:textId="77777777" w:rsidR="00C575EA" w:rsidRDefault="00C575EA" w:rsidP="00FD7FE0">
      <w:r>
        <w:separator/>
      </w:r>
    </w:p>
  </w:footnote>
  <w:footnote w:type="continuationSeparator" w:id="0">
    <w:p w14:paraId="5715B4BE" w14:textId="77777777" w:rsidR="00C575EA" w:rsidRDefault="00C575EA" w:rsidP="00FD7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12804" w14:textId="18E2B728" w:rsidR="00FD7FE0" w:rsidRPr="00FC67EB" w:rsidRDefault="00FD7FE0" w:rsidP="00FD7FE0">
    <w:pPr>
      <w:pStyle w:val="Sidhuvud"/>
      <w:ind w:left="-851"/>
      <w:rPr>
        <w:lang w:val="sv-S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1CAC9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7C6427D"/>
    <w:multiLevelType w:val="hybridMultilevel"/>
    <w:tmpl w:val="2C8698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E52101F"/>
    <w:multiLevelType w:val="hybridMultilevel"/>
    <w:tmpl w:val="643E2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C4F6F2A"/>
    <w:multiLevelType w:val="multilevel"/>
    <w:tmpl w:val="C67E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143931416">
    <w:abstractNumId w:val="0"/>
  </w:num>
  <w:num w:numId="2" w16cid:durableId="322511964">
    <w:abstractNumId w:val="1"/>
  </w:num>
  <w:num w:numId="3" w16cid:durableId="829366243">
    <w:abstractNumId w:val="2"/>
  </w:num>
  <w:num w:numId="4" w16cid:durableId="7980381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1D7"/>
    <w:rsid w:val="00015F6E"/>
    <w:rsid w:val="00060951"/>
    <w:rsid w:val="00063A0C"/>
    <w:rsid w:val="00066F75"/>
    <w:rsid w:val="00073311"/>
    <w:rsid w:val="00075366"/>
    <w:rsid w:val="000760AA"/>
    <w:rsid w:val="00083A65"/>
    <w:rsid w:val="000A25B8"/>
    <w:rsid w:val="000A54ED"/>
    <w:rsid w:val="000B25EC"/>
    <w:rsid w:val="000D0B74"/>
    <w:rsid w:val="000D50E7"/>
    <w:rsid w:val="000F2540"/>
    <w:rsid w:val="00111A7C"/>
    <w:rsid w:val="00123105"/>
    <w:rsid w:val="00156167"/>
    <w:rsid w:val="0016070D"/>
    <w:rsid w:val="00173213"/>
    <w:rsid w:val="0017349F"/>
    <w:rsid w:val="001858E1"/>
    <w:rsid w:val="00193EF3"/>
    <w:rsid w:val="001B378B"/>
    <w:rsid w:val="001D091E"/>
    <w:rsid w:val="00241DFC"/>
    <w:rsid w:val="00243452"/>
    <w:rsid w:val="00275AAD"/>
    <w:rsid w:val="0027641B"/>
    <w:rsid w:val="002A35B5"/>
    <w:rsid w:val="002E2C0A"/>
    <w:rsid w:val="002E6A14"/>
    <w:rsid w:val="00307986"/>
    <w:rsid w:val="003309BA"/>
    <w:rsid w:val="00337292"/>
    <w:rsid w:val="003436A0"/>
    <w:rsid w:val="00370214"/>
    <w:rsid w:val="003855DA"/>
    <w:rsid w:val="003F43AE"/>
    <w:rsid w:val="0040452F"/>
    <w:rsid w:val="004253E5"/>
    <w:rsid w:val="004278E1"/>
    <w:rsid w:val="0044138F"/>
    <w:rsid w:val="00442E6B"/>
    <w:rsid w:val="00443069"/>
    <w:rsid w:val="00464C2A"/>
    <w:rsid w:val="004738C9"/>
    <w:rsid w:val="004845B5"/>
    <w:rsid w:val="004A3E23"/>
    <w:rsid w:val="004C3DB4"/>
    <w:rsid w:val="005053AE"/>
    <w:rsid w:val="0051590D"/>
    <w:rsid w:val="00521A3C"/>
    <w:rsid w:val="0052252D"/>
    <w:rsid w:val="0055481E"/>
    <w:rsid w:val="00574D25"/>
    <w:rsid w:val="005957A5"/>
    <w:rsid w:val="005C5E10"/>
    <w:rsid w:val="005F6093"/>
    <w:rsid w:val="005F65E9"/>
    <w:rsid w:val="005F7365"/>
    <w:rsid w:val="00607921"/>
    <w:rsid w:val="00634AED"/>
    <w:rsid w:val="00637D37"/>
    <w:rsid w:val="00664866"/>
    <w:rsid w:val="0069250B"/>
    <w:rsid w:val="0069291A"/>
    <w:rsid w:val="006A6D87"/>
    <w:rsid w:val="006A775B"/>
    <w:rsid w:val="006E03B9"/>
    <w:rsid w:val="006E31B4"/>
    <w:rsid w:val="00701596"/>
    <w:rsid w:val="007107A9"/>
    <w:rsid w:val="00744668"/>
    <w:rsid w:val="00747B67"/>
    <w:rsid w:val="007633CF"/>
    <w:rsid w:val="00767EAC"/>
    <w:rsid w:val="00783772"/>
    <w:rsid w:val="007A3ACB"/>
    <w:rsid w:val="007D7A96"/>
    <w:rsid w:val="007E1F63"/>
    <w:rsid w:val="007F06DF"/>
    <w:rsid w:val="00803A3F"/>
    <w:rsid w:val="00817E30"/>
    <w:rsid w:val="00817EE5"/>
    <w:rsid w:val="008448C1"/>
    <w:rsid w:val="0084716B"/>
    <w:rsid w:val="0084761B"/>
    <w:rsid w:val="008736EC"/>
    <w:rsid w:val="008766E3"/>
    <w:rsid w:val="008841C6"/>
    <w:rsid w:val="008A51A6"/>
    <w:rsid w:val="008B029F"/>
    <w:rsid w:val="00907286"/>
    <w:rsid w:val="0092151C"/>
    <w:rsid w:val="00924DD5"/>
    <w:rsid w:val="0092637F"/>
    <w:rsid w:val="00942941"/>
    <w:rsid w:val="00944933"/>
    <w:rsid w:val="00950D57"/>
    <w:rsid w:val="009532D8"/>
    <w:rsid w:val="00994C58"/>
    <w:rsid w:val="009973A1"/>
    <w:rsid w:val="009B1B48"/>
    <w:rsid w:val="009B1F35"/>
    <w:rsid w:val="009B43A3"/>
    <w:rsid w:val="009B51BC"/>
    <w:rsid w:val="009F7EE7"/>
    <w:rsid w:val="00A00E13"/>
    <w:rsid w:val="00A121D7"/>
    <w:rsid w:val="00A35941"/>
    <w:rsid w:val="00A43CF9"/>
    <w:rsid w:val="00A46C2D"/>
    <w:rsid w:val="00A63508"/>
    <w:rsid w:val="00A6398E"/>
    <w:rsid w:val="00AA52B7"/>
    <w:rsid w:val="00AB17EC"/>
    <w:rsid w:val="00AD0C9D"/>
    <w:rsid w:val="00AD0D81"/>
    <w:rsid w:val="00AD2394"/>
    <w:rsid w:val="00AE002A"/>
    <w:rsid w:val="00B03B84"/>
    <w:rsid w:val="00B1504B"/>
    <w:rsid w:val="00B16725"/>
    <w:rsid w:val="00B24A89"/>
    <w:rsid w:val="00B30B08"/>
    <w:rsid w:val="00B60001"/>
    <w:rsid w:val="00B6713E"/>
    <w:rsid w:val="00B872A0"/>
    <w:rsid w:val="00BB156F"/>
    <w:rsid w:val="00BB60F3"/>
    <w:rsid w:val="00BC1900"/>
    <w:rsid w:val="00BE2F5C"/>
    <w:rsid w:val="00BE55A6"/>
    <w:rsid w:val="00BF70D9"/>
    <w:rsid w:val="00C17253"/>
    <w:rsid w:val="00C47C61"/>
    <w:rsid w:val="00C575EA"/>
    <w:rsid w:val="00C71477"/>
    <w:rsid w:val="00C7350F"/>
    <w:rsid w:val="00C8267B"/>
    <w:rsid w:val="00C94F0C"/>
    <w:rsid w:val="00C96713"/>
    <w:rsid w:val="00CD65E6"/>
    <w:rsid w:val="00CE7327"/>
    <w:rsid w:val="00D135CC"/>
    <w:rsid w:val="00D1462A"/>
    <w:rsid w:val="00D34AEA"/>
    <w:rsid w:val="00D47139"/>
    <w:rsid w:val="00D81DDE"/>
    <w:rsid w:val="00DA6DD3"/>
    <w:rsid w:val="00DA7B89"/>
    <w:rsid w:val="00DE2BF4"/>
    <w:rsid w:val="00DF66DE"/>
    <w:rsid w:val="00E059D6"/>
    <w:rsid w:val="00E111A2"/>
    <w:rsid w:val="00E37731"/>
    <w:rsid w:val="00E414F6"/>
    <w:rsid w:val="00E45616"/>
    <w:rsid w:val="00E747A9"/>
    <w:rsid w:val="00EB0915"/>
    <w:rsid w:val="00EE69EF"/>
    <w:rsid w:val="00F05D2F"/>
    <w:rsid w:val="00F0782E"/>
    <w:rsid w:val="00F37584"/>
    <w:rsid w:val="00F51C85"/>
    <w:rsid w:val="00F53ECA"/>
    <w:rsid w:val="00F83249"/>
    <w:rsid w:val="00F91938"/>
    <w:rsid w:val="00FB4330"/>
    <w:rsid w:val="00FD7FE0"/>
  </w:rsids>
  <m:mathPr>
    <m:mathFont m:val="Cambria Math"/>
    <m:brkBin m:val="before"/>
    <m:brkBinSub m:val="--"/>
    <m:smallFrac/>
    <m:dispDef/>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94B85AD"/>
  <w15:chartTrackingRefBased/>
  <w15:docId w15:val="{0797B227-C43D-45E0-9748-1BC4063F6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4716B"/>
    <w:rPr>
      <w:rFonts w:ascii="Book Antiqua" w:eastAsia="Times New Roman" w:hAnsi="Book Antiqua"/>
      <w:sz w:val="24"/>
      <w:szCs w:val="24"/>
      <w:lang w:eastAsia="ja-JP"/>
    </w:rPr>
  </w:style>
  <w:style w:type="paragraph" w:styleId="Rubrik1">
    <w:name w:val="heading 1"/>
    <w:basedOn w:val="Normal"/>
    <w:next w:val="Normal"/>
    <w:link w:val="Rubrik1Char"/>
    <w:uiPriority w:val="9"/>
    <w:qFormat/>
    <w:rsid w:val="007D7A96"/>
    <w:pPr>
      <w:keepNext/>
      <w:keepLines/>
      <w:spacing w:before="480" w:line="360" w:lineRule="auto"/>
      <w:outlineLvl w:val="0"/>
    </w:pPr>
    <w:rPr>
      <w:rFonts w:ascii="Arial" w:hAnsi="Arial"/>
      <w:b/>
      <w:bCs/>
      <w:sz w:val="32"/>
      <w:szCs w:val="32"/>
      <w:lang w:val="x-none"/>
    </w:rPr>
  </w:style>
  <w:style w:type="paragraph" w:styleId="Rubrik2">
    <w:name w:val="heading 2"/>
    <w:basedOn w:val="Rubrik1"/>
    <w:next w:val="Normal"/>
    <w:link w:val="Rubrik2Char"/>
    <w:qFormat/>
    <w:rsid w:val="00812EB4"/>
    <w:pPr>
      <w:spacing w:before="120" w:after="120" w:line="240" w:lineRule="auto"/>
      <w:outlineLvl w:val="1"/>
    </w:pPr>
    <w:rPr>
      <w:bCs w:val="0"/>
      <w:sz w:val="28"/>
      <w:szCs w:val="26"/>
    </w:rPr>
  </w:style>
  <w:style w:type="paragraph" w:styleId="Rubrik3">
    <w:name w:val="heading 3"/>
    <w:basedOn w:val="Rubrik1"/>
    <w:next w:val="Normal"/>
    <w:link w:val="Rubrik3Char"/>
    <w:qFormat/>
    <w:rsid w:val="00812EB4"/>
    <w:pPr>
      <w:spacing w:before="200"/>
      <w:outlineLvl w:val="2"/>
    </w:pPr>
    <w:rPr>
      <w:b w:val="0"/>
      <w:bCs w:val="0"/>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1266C4"/>
    <w:pPr>
      <w:tabs>
        <w:tab w:val="center" w:pos="4536"/>
        <w:tab w:val="right" w:pos="9072"/>
      </w:tabs>
    </w:pPr>
    <w:rPr>
      <w:rFonts w:eastAsia="MS Mincho"/>
      <w:lang w:val="en-GB" w:eastAsia="x-none"/>
    </w:rPr>
  </w:style>
  <w:style w:type="character" w:customStyle="1" w:styleId="SidhuvudChar">
    <w:name w:val="Sidhuvud Char"/>
    <w:link w:val="Sidhuvud"/>
    <w:uiPriority w:val="99"/>
    <w:rsid w:val="001266C4"/>
    <w:rPr>
      <w:rFonts w:ascii="Myriad Pro" w:hAnsi="Myriad Pro"/>
      <w:noProof/>
      <w:sz w:val="24"/>
      <w:szCs w:val="24"/>
      <w:lang w:val="en-GB" w:eastAsia="x-none"/>
    </w:rPr>
  </w:style>
  <w:style w:type="paragraph" w:styleId="Sidfot">
    <w:name w:val="footer"/>
    <w:basedOn w:val="Normal"/>
    <w:link w:val="SidfotChar"/>
    <w:uiPriority w:val="99"/>
    <w:unhideWhenUsed/>
    <w:rsid w:val="00DC51FF"/>
    <w:pPr>
      <w:tabs>
        <w:tab w:val="left" w:pos="1134"/>
      </w:tabs>
    </w:pPr>
    <w:rPr>
      <w:rFonts w:eastAsia="MS Mincho"/>
      <w:sz w:val="18"/>
      <w:lang w:val="en-GB" w:eastAsia="x-none"/>
    </w:rPr>
  </w:style>
  <w:style w:type="character" w:customStyle="1" w:styleId="SidfotChar">
    <w:name w:val="Sidfot Char"/>
    <w:link w:val="Sidfot"/>
    <w:uiPriority w:val="99"/>
    <w:rsid w:val="00DC51FF"/>
    <w:rPr>
      <w:rFonts w:ascii="Myriad Pro" w:hAnsi="Myriad Pro"/>
      <w:noProof/>
      <w:sz w:val="18"/>
      <w:szCs w:val="24"/>
      <w:lang w:val="en-GB" w:eastAsia="x-none"/>
    </w:rPr>
  </w:style>
  <w:style w:type="paragraph" w:styleId="Ballongtext">
    <w:name w:val="Balloon Text"/>
    <w:basedOn w:val="Normal"/>
    <w:link w:val="BallongtextChar"/>
    <w:uiPriority w:val="99"/>
    <w:semiHidden/>
    <w:unhideWhenUsed/>
    <w:rsid w:val="00D36F6C"/>
    <w:rPr>
      <w:rFonts w:ascii="Lucida Grande" w:eastAsia="MS Mincho" w:hAnsi="Lucida Grande"/>
      <w:sz w:val="18"/>
      <w:szCs w:val="18"/>
      <w:lang w:val="en-GB" w:eastAsia="x-none"/>
    </w:rPr>
  </w:style>
  <w:style w:type="character" w:customStyle="1" w:styleId="BallongtextChar">
    <w:name w:val="Ballongtext Char"/>
    <w:link w:val="Ballongtext"/>
    <w:uiPriority w:val="99"/>
    <w:semiHidden/>
    <w:rsid w:val="00D36F6C"/>
    <w:rPr>
      <w:rFonts w:ascii="Lucida Grande" w:hAnsi="Lucida Grande" w:cs="Lucida Grande"/>
      <w:noProof/>
      <w:sz w:val="18"/>
      <w:szCs w:val="18"/>
      <w:lang w:val="en-GB"/>
    </w:rPr>
  </w:style>
  <w:style w:type="character" w:styleId="Hyperlnk">
    <w:name w:val="Hyperlink"/>
    <w:uiPriority w:val="99"/>
    <w:unhideWhenUsed/>
    <w:rsid w:val="00D871A6"/>
    <w:rPr>
      <w:color w:val="0000FF"/>
      <w:u w:val="single"/>
    </w:rPr>
  </w:style>
  <w:style w:type="character" w:customStyle="1" w:styleId="Rubrik1Char">
    <w:name w:val="Rubrik 1 Char"/>
    <w:link w:val="Rubrik1"/>
    <w:uiPriority w:val="9"/>
    <w:rsid w:val="007D7A96"/>
    <w:rPr>
      <w:rFonts w:ascii="Arial" w:eastAsia="Times New Roman" w:hAnsi="Arial"/>
      <w:b/>
      <w:bCs/>
      <w:sz w:val="32"/>
      <w:szCs w:val="32"/>
      <w:lang w:val="x-none" w:eastAsia="ja-JP"/>
    </w:rPr>
  </w:style>
  <w:style w:type="character" w:customStyle="1" w:styleId="Rubrik2Char">
    <w:name w:val="Rubrik 2 Char"/>
    <w:link w:val="Rubrik2"/>
    <w:rsid w:val="00812EB4"/>
    <w:rPr>
      <w:rFonts w:ascii="Myriad Pro" w:eastAsia="Times New Roman" w:hAnsi="Myriad Pro" w:cs="Times New Roman"/>
      <w:b/>
      <w:noProof/>
      <w:sz w:val="28"/>
      <w:szCs w:val="26"/>
      <w:lang w:eastAsia="ja-JP"/>
    </w:rPr>
  </w:style>
  <w:style w:type="character" w:customStyle="1" w:styleId="Rubrik3Char">
    <w:name w:val="Rubrik 3 Char"/>
    <w:link w:val="Rubrik3"/>
    <w:rsid w:val="00812EB4"/>
    <w:rPr>
      <w:rFonts w:ascii="Myriad Pro" w:eastAsia="Times New Roman" w:hAnsi="Myriad Pro" w:cs="Times New Roman"/>
      <w:noProof/>
      <w:sz w:val="24"/>
      <w:szCs w:val="32"/>
      <w:lang w:eastAsia="ja-JP"/>
    </w:rPr>
  </w:style>
  <w:style w:type="paragraph" w:customStyle="1" w:styleId="Ingress">
    <w:name w:val="Ingress"/>
    <w:basedOn w:val="Stycke"/>
    <w:qFormat/>
    <w:rsid w:val="00812EB4"/>
    <w:rPr>
      <w:rFonts w:eastAsia="Arial"/>
      <w:b/>
      <w:color w:val="000000"/>
      <w:sz w:val="22"/>
      <w:lang w:val="en-GB" w:eastAsia="en-US"/>
    </w:rPr>
  </w:style>
  <w:style w:type="paragraph" w:customStyle="1" w:styleId="Stycke">
    <w:name w:val="Stycke"/>
    <w:basedOn w:val="Normal"/>
    <w:autoRedefine/>
    <w:qFormat/>
    <w:rsid w:val="00950D57"/>
    <w:pPr>
      <w:tabs>
        <w:tab w:val="left" w:pos="6946"/>
      </w:tabs>
      <w:spacing w:line="360" w:lineRule="auto"/>
    </w:pPr>
    <w:rPr>
      <w:sz w:val="20"/>
    </w:rPr>
  </w:style>
  <w:style w:type="paragraph" w:customStyle="1" w:styleId="Default">
    <w:name w:val="Default"/>
    <w:rsid w:val="00E111A2"/>
    <w:pPr>
      <w:autoSpaceDE w:val="0"/>
      <w:autoSpaceDN w:val="0"/>
      <w:adjustRightInd w:val="0"/>
    </w:pPr>
    <w:rPr>
      <w:rFonts w:ascii="Myriad Pro" w:hAnsi="Myriad Pro" w:cs="Myriad Pro"/>
      <w:color w:val="000000"/>
      <w:sz w:val="24"/>
      <w:szCs w:val="24"/>
    </w:rPr>
  </w:style>
  <w:style w:type="paragraph" w:customStyle="1" w:styleId="Pa1">
    <w:name w:val="Pa1"/>
    <w:basedOn w:val="Default"/>
    <w:next w:val="Default"/>
    <w:uiPriority w:val="99"/>
    <w:rsid w:val="00E111A2"/>
    <w:pPr>
      <w:spacing w:line="241" w:lineRule="atLeast"/>
    </w:pPr>
    <w:rPr>
      <w:rFonts w:cs="Times New Roman"/>
      <w:color w:val="auto"/>
    </w:rPr>
  </w:style>
  <w:style w:type="character" w:customStyle="1" w:styleId="A1">
    <w:name w:val="A1"/>
    <w:uiPriority w:val="99"/>
    <w:rsid w:val="00E111A2"/>
    <w:rPr>
      <w:rFonts w:cs="Myriad Pro"/>
      <w:b/>
      <w:bCs/>
      <w:color w:val="211D1E"/>
      <w:sz w:val="16"/>
      <w:szCs w:val="16"/>
    </w:rPr>
  </w:style>
  <w:style w:type="paragraph" w:customStyle="1" w:styleId="DATUMvrref">
    <w:name w:val="DATUM / vår ref"/>
    <w:basedOn w:val="Default"/>
    <w:qFormat/>
    <w:rsid w:val="00950D57"/>
    <w:pPr>
      <w:tabs>
        <w:tab w:val="left" w:pos="6237"/>
      </w:tabs>
    </w:pPr>
  </w:style>
  <w:style w:type="character" w:styleId="Kommentarsreferens">
    <w:name w:val="annotation reference"/>
    <w:basedOn w:val="Standardstycketeckensnitt"/>
    <w:rsid w:val="00AD2394"/>
    <w:rPr>
      <w:sz w:val="16"/>
      <w:szCs w:val="16"/>
    </w:rPr>
  </w:style>
  <w:style w:type="paragraph" w:styleId="Kommentarer">
    <w:name w:val="annotation text"/>
    <w:basedOn w:val="Normal"/>
    <w:link w:val="KommentarerChar"/>
    <w:rsid w:val="00AD2394"/>
    <w:rPr>
      <w:sz w:val="20"/>
      <w:szCs w:val="20"/>
    </w:rPr>
  </w:style>
  <w:style w:type="character" w:customStyle="1" w:styleId="KommentarerChar">
    <w:name w:val="Kommentarer Char"/>
    <w:basedOn w:val="Standardstycketeckensnitt"/>
    <w:link w:val="Kommentarer"/>
    <w:rsid w:val="00AD2394"/>
    <w:rPr>
      <w:rFonts w:ascii="Myriad Pro" w:eastAsia="Times New Roman" w:hAnsi="Myriad Pro"/>
      <w:noProof/>
      <w:lang w:eastAsia="ja-JP"/>
    </w:rPr>
  </w:style>
  <w:style w:type="paragraph" w:styleId="Kommentarsmne">
    <w:name w:val="annotation subject"/>
    <w:basedOn w:val="Kommentarer"/>
    <w:next w:val="Kommentarer"/>
    <w:link w:val="KommentarsmneChar"/>
    <w:rsid w:val="00AD2394"/>
    <w:rPr>
      <w:b/>
      <w:bCs/>
    </w:rPr>
  </w:style>
  <w:style w:type="character" w:customStyle="1" w:styleId="KommentarsmneChar">
    <w:name w:val="Kommentarsämne Char"/>
    <w:basedOn w:val="KommentarerChar"/>
    <w:link w:val="Kommentarsmne"/>
    <w:rsid w:val="00AD2394"/>
    <w:rPr>
      <w:rFonts w:ascii="Myriad Pro" w:eastAsia="Times New Roman" w:hAnsi="Myriad Pro"/>
      <w:b/>
      <w:bCs/>
      <w:noProof/>
      <w:lang w:eastAsia="ja-JP"/>
    </w:rPr>
  </w:style>
  <w:style w:type="table" w:styleId="Tabellrutnt">
    <w:name w:val="Table Grid"/>
    <w:basedOn w:val="Normaltabell"/>
    <w:rsid w:val="00F05D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stycke">
    <w:name w:val="List Paragraph"/>
    <w:basedOn w:val="Normal"/>
    <w:qFormat/>
    <w:rsid w:val="00BE55A6"/>
    <w:pPr>
      <w:ind w:left="720"/>
      <w:contextualSpacing/>
    </w:pPr>
  </w:style>
  <w:style w:type="character" w:styleId="Radnummer">
    <w:name w:val="line number"/>
    <w:basedOn w:val="Standardstycketeckensnitt"/>
    <w:rsid w:val="009B1F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4908272">
      <w:bodyDiv w:val="1"/>
      <w:marLeft w:val="0"/>
      <w:marRight w:val="0"/>
      <w:marTop w:val="0"/>
      <w:marBottom w:val="0"/>
      <w:divBdr>
        <w:top w:val="none" w:sz="0" w:space="0" w:color="auto"/>
        <w:left w:val="none" w:sz="0" w:space="0" w:color="auto"/>
        <w:bottom w:val="none" w:sz="0" w:space="0" w:color="auto"/>
        <w:right w:val="none" w:sz="0" w:space="0" w:color="auto"/>
      </w:divBdr>
    </w:div>
    <w:div w:id="765687714">
      <w:bodyDiv w:val="1"/>
      <w:marLeft w:val="0"/>
      <w:marRight w:val="0"/>
      <w:marTop w:val="0"/>
      <w:marBottom w:val="0"/>
      <w:divBdr>
        <w:top w:val="none" w:sz="0" w:space="0" w:color="auto"/>
        <w:left w:val="none" w:sz="0" w:space="0" w:color="auto"/>
        <w:bottom w:val="none" w:sz="0" w:space="0" w:color="auto"/>
        <w:right w:val="none" w:sz="0" w:space="0" w:color="auto"/>
      </w:divBdr>
    </w:div>
    <w:div w:id="989598266">
      <w:bodyDiv w:val="1"/>
      <w:marLeft w:val="0"/>
      <w:marRight w:val="0"/>
      <w:marTop w:val="0"/>
      <w:marBottom w:val="0"/>
      <w:divBdr>
        <w:top w:val="none" w:sz="0" w:space="0" w:color="auto"/>
        <w:left w:val="none" w:sz="0" w:space="0" w:color="auto"/>
        <w:bottom w:val="none" w:sz="0" w:space="0" w:color="auto"/>
        <w:right w:val="none" w:sz="0" w:space="0" w:color="auto"/>
      </w:divBdr>
    </w:div>
    <w:div w:id="1409617667">
      <w:bodyDiv w:val="1"/>
      <w:marLeft w:val="0"/>
      <w:marRight w:val="0"/>
      <w:marTop w:val="0"/>
      <w:marBottom w:val="0"/>
      <w:divBdr>
        <w:top w:val="none" w:sz="0" w:space="0" w:color="auto"/>
        <w:left w:val="none" w:sz="0" w:space="0" w:color="auto"/>
        <w:bottom w:val="none" w:sz="0" w:space="0" w:color="auto"/>
        <w:right w:val="none" w:sz="0" w:space="0" w:color="auto"/>
      </w:divBdr>
    </w:div>
    <w:div w:id="1707027468">
      <w:bodyDiv w:val="1"/>
      <w:marLeft w:val="0"/>
      <w:marRight w:val="0"/>
      <w:marTop w:val="0"/>
      <w:marBottom w:val="0"/>
      <w:divBdr>
        <w:top w:val="none" w:sz="0" w:space="0" w:color="auto"/>
        <w:left w:val="none" w:sz="0" w:space="0" w:color="auto"/>
        <w:bottom w:val="none" w:sz="0" w:space="0" w:color="auto"/>
        <w:right w:val="none" w:sz="0" w:space="0" w:color="auto"/>
      </w:divBdr>
    </w:div>
    <w:div w:id="18698329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Sundholm\Riksf&#246;rbundet%20Hj&#228;rtLung\Hem%20-%20Mallar\Brevmall_23022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D74732CFD122F4AB25572476E091FBA" ma:contentTypeVersion="24" ma:contentTypeDescription="Skapa ett nytt dokument." ma:contentTypeScope="" ma:versionID="9d88a3c0a6bb9ddf4a1e687a5d4d9610">
  <xsd:schema xmlns:xsd="http://www.w3.org/2001/XMLSchema" xmlns:xs="http://www.w3.org/2001/XMLSchema" xmlns:p="http://schemas.microsoft.com/office/2006/metadata/properties" xmlns:ns2="67d30642-fa2f-414a-9a18-777ac9862fba" xmlns:ns3="14caeeda-9214-4bf6-b317-d2ca0b25aa12" targetNamespace="http://schemas.microsoft.com/office/2006/metadata/properties" ma:root="true" ma:fieldsID="dd4f5942aa4317d9f23e19cea9aa811a" ns2:_="" ns3:_="">
    <xsd:import namespace="67d30642-fa2f-414a-9a18-777ac9862fba"/>
    <xsd:import namespace="14caeeda-9214-4bf6-b317-d2ca0b25aa12"/>
    <xsd:element name="properties">
      <xsd:complexType>
        <xsd:sequence>
          <xsd:element name="documentManagement">
            <xsd:complexType>
              <xsd:all>
                <xsd:element ref="ns2:TaxCatchAll" minOccurs="0"/>
                <xsd:element ref="ns2:TaxKeywordTaxHTField" minOccurs="0"/>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d30642-fa2f-414a-9a18-777ac9862fba" elementFormDefault="qualified">
    <xsd:import namespace="http://schemas.microsoft.com/office/2006/documentManagement/types"/>
    <xsd:import namespace="http://schemas.microsoft.com/office/infopath/2007/PartnerControls"/>
    <xsd:element name="TaxCatchAll" ma:index="9" nillable="true" ma:displayName="Taxonomy Catch All Column" ma:description="" ma:hidden="true" ma:list="{69a69c2a-ff83-41e8-b125-9c17b8a374aa}" ma:internalName="TaxCatchAll" ma:showField="CatchAllData" ma:web="67d30642-fa2f-414a-9a18-777ac9862fba">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Nyckelord" ma:fieldId="{23f27201-bee3-471e-b2e7-b64fd8b7ca38}" ma:taxonomyMulti="true" ma:sspId="8d17a9f6-6ce4-45f3-8116-1d0562b76ae5" ma:termSetId="00000000-0000-0000-0000-000000000000" ma:anchorId="00000000-0000-0000-0000-000000000000" ma:open="true" ma:isKeyword="true">
      <xsd:complexType>
        <xsd:sequence>
          <xsd:element ref="pc:Terms" minOccurs="0" maxOccurs="1"/>
        </xsd:sequence>
      </xsd:complexType>
    </xsd:element>
    <xsd:element name="SharedWithUsers" ma:index="11"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description="" ma:internalName="SharedWithDetails" ma:readOnly="true">
      <xsd:simpleType>
        <xsd:restriction base="dms:Note">
          <xsd:maxLength value="255"/>
        </xsd:restriction>
      </xsd:simpleType>
    </xsd:element>
    <xsd:element name="LastSharedByUser" ma:index="13" nillable="true" ma:displayName="Senast delad per användare" ma:description="" ma:internalName="LastSharedByUser" ma:readOnly="true">
      <xsd:simpleType>
        <xsd:restriction base="dms:Note">
          <xsd:maxLength value="255"/>
        </xsd:restriction>
      </xsd:simpleType>
    </xsd:element>
    <xsd:element name="LastSharedByTime" ma:index="14" nillable="true" ma:displayName="Senast delad per tid"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14caeeda-9214-4bf6-b317-d2ca0b25aa12"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DateTaken" ma:index="17" nillable="true" ma:displayName="MediaServiceDateTaken" ma:description="" ma:hidden="true" ma:internalName="MediaServiceDateTaken" ma:readOnly="true">
      <xsd:simpleType>
        <xsd:restriction base="dms:Text"/>
      </xsd:simpleType>
    </xsd:element>
    <xsd:element name="MediaServiceAutoTags" ma:index="18" nillable="true" ma:displayName="MediaServiceAutoTags" ma:description="" ma:internalName="MediaServiceAutoTags" ma:readOnly="true">
      <xsd:simpleType>
        <xsd:restriction base="dms:Text"/>
      </xsd:simpleType>
    </xsd:element>
    <xsd:element name="MediaServiceLocation" ma:index="19" nillable="true" ma:displayName="MediaServiceLocation" ma:internalName="MediaServiceLocation" ma:readOnly="true">
      <xsd:simpleType>
        <xsd:restriction base="dms:Text"/>
      </xsd:simpleType>
    </xsd:element>
    <xsd:element name="MediaServiceOCR" ma:index="20" nillable="true" ma:displayName="MediaServiceOCR"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element name="MediaLengthInSeconds" ma:index="25" nillable="true" ma:displayName="MediaLengthInSeconds" ma:hidden="true"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Bildmarkeringar" ma:readOnly="false" ma:fieldId="{5cf76f15-5ced-4ddc-b409-7134ff3c332f}" ma:taxonomyMulti="true" ma:sspId="8d17a9f6-6ce4-45f3-8116-1d0562b76a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4caeeda-9214-4bf6-b317-d2ca0b25aa12">
      <Terms xmlns="http://schemas.microsoft.com/office/infopath/2007/PartnerControls"/>
    </lcf76f155ced4ddcb4097134ff3c332f>
    <TaxCatchAll xmlns="67d30642-fa2f-414a-9a18-777ac9862fba" xsi:nil="true"/>
    <TaxKeywordTaxHTField xmlns="67d30642-fa2f-414a-9a18-777ac9862fba">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DB55B9-437B-47AF-A812-A270969D20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d30642-fa2f-414a-9a18-777ac9862fba"/>
    <ds:schemaRef ds:uri="14caeeda-9214-4bf6-b317-d2ca0b25aa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61EC8F6-B913-45EE-B2F2-2F45FF1A52A3}">
  <ds:schemaRefs>
    <ds:schemaRef ds:uri="http://schemas.openxmlformats.org/officeDocument/2006/bibliography"/>
  </ds:schemaRefs>
</ds:datastoreItem>
</file>

<file path=customXml/itemProps3.xml><?xml version="1.0" encoding="utf-8"?>
<ds:datastoreItem xmlns:ds="http://schemas.openxmlformats.org/officeDocument/2006/customXml" ds:itemID="{F2B0EFA9-D531-4471-89E4-6CC8ACDF5D45}">
  <ds:schemaRefs>
    <ds:schemaRef ds:uri="http://schemas.microsoft.com/office/2006/metadata/properties"/>
    <ds:schemaRef ds:uri="http://schemas.microsoft.com/office/infopath/2007/PartnerControls"/>
    <ds:schemaRef ds:uri="14caeeda-9214-4bf6-b317-d2ca0b25aa12"/>
    <ds:schemaRef ds:uri="67d30642-fa2f-414a-9a18-777ac9862fba"/>
  </ds:schemaRefs>
</ds:datastoreItem>
</file>

<file path=customXml/itemProps4.xml><?xml version="1.0" encoding="utf-8"?>
<ds:datastoreItem xmlns:ds="http://schemas.openxmlformats.org/officeDocument/2006/customXml" ds:itemID="{374E0991-043A-4B5E-AB8F-F9F09538FA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Brevmall_230221</Template>
  <TotalTime>9</TotalTime>
  <Pages>3</Pages>
  <Words>672</Words>
  <Characters>3565</Characters>
  <Application>Microsoft Office Word</Application>
  <DocSecurity>0</DocSecurity>
  <Lines>29</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Ulrica Sundholm</dc:creator>
  <cp:keywords/>
  <cp:lastModifiedBy>Marre Ahlsen</cp:lastModifiedBy>
  <cp:revision>10</cp:revision>
  <dcterms:created xsi:type="dcterms:W3CDTF">2025-03-24T07:07:00Z</dcterms:created>
  <dcterms:modified xsi:type="dcterms:W3CDTF">2025-04-01T12:25:00Z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0x010100AD74732CFD122F4AB25572476E091FBA</vt:lpwstr>
  </property>
  <property fmtid="{D5CDD505-2E9C-101B-9397-08002B2CF9AE}" pid="3" name="TaxKeyword">
    <vt:lpwstr/>
  </property>
  <property fmtid="{D5CDD505-2E9C-101B-9397-08002B2CF9AE}" pid="4" name="MediaServiceImageTags">
    <vt:lpwstr/>
  </property>
</Properties>
</file>